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StVG — (zu § 24a)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22.08.2024 (konsolidierte Textfassung, kein amtliches Inkrafttretensdatum)</w:t>
      </w:r>
    </w:p>
    <w:p>
      <w:r>
        <w:t xml:space="preserve">(Fundstelle: BGBl. I 2007, 1045)</w:t>
      </w:r>
    </w:p>
    <w:p>
      <w:r>
        <w:rPr>
          <w:rFonts w:ascii="Courier New" w:hAnsi="Courier New"/>
          <w:sz w:val="17"/>
        </w:rPr>
        <w:t xml:space="preserve">Berauschende Mittel    Substanzen</w:t>
      </w:r>
    </w:p>
    <w:p>
      <w:r>
        <w:rPr>
          <w:rFonts w:ascii="Courier New" w:hAnsi="Courier New"/>
          <w:sz w:val="17"/>
        </w:rPr>
        <w:t xml:space="preserve">Heroin    Morphin</w:t>
      </w:r>
    </w:p>
    <w:p>
      <w:r>
        <w:rPr>
          <w:rFonts w:ascii="Courier New" w:hAnsi="Courier New"/>
          <w:sz w:val="17"/>
        </w:rPr>
        <w:t xml:space="preserve">Morphin    Morphin</w:t>
      </w:r>
    </w:p>
    <w:p>
      <w:r>
        <w:rPr>
          <w:rFonts w:ascii="Courier New" w:hAnsi="Courier New"/>
          <w:sz w:val="17"/>
        </w:rPr>
        <w:t xml:space="preserve">Cocain    Cocain</w:t>
      </w:r>
    </w:p>
    <w:p>
      <w:r>
        <w:rPr>
          <w:rFonts w:ascii="Courier New" w:hAnsi="Courier New"/>
          <w:sz w:val="17"/>
        </w:rPr>
        <w:t xml:space="preserve">Cocain    Benzoylecgonin</w:t>
      </w:r>
    </w:p>
    <w:p>
      <w:r>
        <w:rPr>
          <w:rFonts w:ascii="Courier New" w:hAnsi="Courier New"/>
          <w:sz w:val="17"/>
        </w:rPr>
        <w:t xml:space="preserve">Amfetamin    Amfetamin</w:t>
      </w:r>
    </w:p>
    <w:p>
      <w:r>
        <w:rPr>
          <w:rFonts w:ascii="Courier New" w:hAnsi="Courier New"/>
          <w:sz w:val="17"/>
        </w:rPr>
        <w:t xml:space="preserve">Designer-Amfetamin    Methylendioxyamfetamin (MDA)</w:t>
      </w:r>
    </w:p>
    <w:p>
      <w:r>
        <w:rPr>
          <w:rFonts w:ascii="Courier New" w:hAnsi="Courier New"/>
          <w:sz w:val="17"/>
        </w:rPr>
        <w:t xml:space="preserve">Designer-Amfetamin    Methylendioxyethylamfetamin (MDE)</w:t>
      </w:r>
    </w:p>
    <w:p>
      <w:r>
        <w:rPr>
          <w:rFonts w:ascii="Courier New" w:hAnsi="Courier New"/>
          <w:sz w:val="17"/>
        </w:rPr>
        <w:t xml:space="preserve">Designer-Amfetamin    Methylendioxymetamfetamin (MDMA)</w:t>
      </w:r>
    </w:p>
    <w:p>
      <w:r>
        <w:rPr>
          <w:rFonts w:ascii="Courier New" w:hAnsi="Courier New"/>
          <w:sz w:val="17"/>
        </w:rPr>
        <w:t xml:space="preserve">Metamfetamin    Metamfetamin</w:t>
      </w:r>
    </w:p>
    <w:p>
      <w:r>
        <w:rPr>
          <w:color w:val="555555"/>
          <w:sz w:val="17"/>
        </w:rPr>
        <w:t xml:space="preserve">Zitiervorschlag: Anlage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