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StVG — Auszug aus EinigVtr Anlage I Kapitel XI Sachgebiet B Abschnitt III (BGBl. II 1990, 889, 1099) - Maßgaben für das beigetretene Gebiet (Art. 3 EinigVtr) -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Bundesrecht tritt in dem in Artikel 3 des Vertrages genannten Gebiet mit folgenden Maßgaben in Kraft:</w:t>
      </w:r>
    </w:p>
    <w:p>
      <w:pPr>
        <w:ind w:left="420"/>
      </w:pPr>
      <w:r>
        <w:t xml:space="preserve">1. Straßenverkehrsgesetz in der im Bundesgesetzblatt Teil III, Gliederungsnummer 9231-1, veröffentlichten bereinigten Fassung, zuletzt geändert durch Gesetz vom 28. Januar 1987 (BGBl. I S. 486),mit folgenden Maßgaben:</w:t>
      </w:r>
    </w:p>
    <w:p>
      <w:pPr>
        <w:ind w:left="780"/>
      </w:pPr>
      <w:r>
        <w:t xml:space="preserve">a) § 24a findet bis zum 31. Dezember 1992 keine Anwendung.</w:t>
      </w:r>
    </w:p>
    <w:p>
      <w:pPr>
        <w:ind w:left="780"/>
      </w:pPr>
      <w:r>
        <w:t xml:space="preserve">b) Für die nach bisherigem Recht der Deutschen Demokratischen Republik erfolgten Zulassungen dürfen die örtlichen Fahrzeugregister von den für die Zulassung zuständigen Behörden unter entsprechender Anwendung der § 31 Abs. 1, §§ 32 bis 35, 37 bis 47 des Straßenverkehrsgesetzes sowie der §§ 1 bis 3, 5, 8 und 15 der Fahrzeugregisterverordnung vom 20. Oktober 1987 (BGBl. I S. 2305) bis zum 31. Dezember 1993 weitergeführt werden.</w:t>
      </w:r>
    </w:p>
    <w:p>
      <w:pPr>
        <w:ind w:left="780"/>
      </w:pPr>
      <w:r>
        <w:t xml:space="preserve">c) Nach bisherigem Recht der Deutschen Demokratischen Republik erfolgte Zulassungen dürfen an das Zentrale Fahrzeugregister übermittelt und dort unter entsprechender Anwendung der § 31 Abs. 2, §§ 32 bis 47 des Straßenverkehrsgesetzes sowie der §§ 4, 5, 12 Abs. 1, §§ 13 bis 15, 17 der Fahrzeugregisterverordnung bis zum 31. Dezember 1993 verarbeitet werden.</w:t>
      </w:r>
    </w:p>
    <w:p>
      <w:pPr>
        <w:ind w:left="780"/>
      </w:pPr>
      <w:r>
        <w:t xml:space="preserve">d) Die Vorschriften des Straßenverkehrsgesetzes und der Fahrzeugregisterverordnung, die sich auf das Versicherungskennzeichen beziehen, gelten erst ab 1. Januar 1991; § 34 Abs. 5 Satz 2 gilt erst ab 1. März 1991.</w:t>
      </w:r>
    </w:p>
    <w:p>
      <w:pPr>
        <w:ind w:left="780"/>
      </w:pPr>
      <w:r>
        <w:t xml:space="preserve">e) Der Bundesminister für Verkehr bestimmt nach Anhörung der zuständigen obersten Landesbehörden durch Rechtsverordnung ohne Zustimmung des Bundesrates die Festlegung von Unterscheidungszeichen der Verwaltungsbezirke und von Erkennungsnummern nach § 23 Abs. 2 der Straßenverkehrs-Zulassungs-Ordnung für das in Artikel 3 des Vertrages genannte Gebiet. Die Ermächtigung ist bis zum 31. Dezember 1991 befristet.</w:t>
      </w:r>
    </w:p>
    <w:p>
      <w:pPr>
        <w:ind w:left="780"/>
      </w:pPr>
      <w:r>
        <w:t xml:space="preserve">f) Das Kraftfahrt-Bundesamt darf das bestehende Zentrale Fahrerlaubnisregister für das in Artikel 3 des Vertrages genannte Gebiet unter entsprechender Anwendung der §§ 29 bis 30a des Straßenverkehrsgesetzes sowie der §§ 13a bis 13d der Straßenverkehrs-Zulassungs-Ordnung bis zu einer gesetzlichen Regelung über die Übernahme in das Verkehrszentralregister weiterführen.</w:t>
      </w:r>
    </w:p>
    <w:p>
      <w:pPr>
        <w:ind w:left="780"/>
      </w:pPr>
      <w:r>
        <w:t xml:space="preserve">g) Die Aufgaben der medizinisch-psychologischen Untersuchungsstellen können bis zum 31. Dezember 1991 vom Verkehrsmedizinischen Dienst der Deutschen Demokratischen Republik wahrgenommen werden.</w:t>
      </w:r>
    </w:p>
    <w:p>
      <w:pPr>
        <w:ind w:left="780"/>
      </w:pPr>
      <w:r>
        <w:t xml:space="preserve">h) Für Maßnahmen nach den Vorschriften für die Fahrerlaubnis auf Probe tritt an die Stelle der Regelung des § 24a des Straßenverkehrsgesetzes die entsprechende Regelung, die in dem in Artikel 3 des Vertrages genannten Gebiet gilt.</w:t>
      </w:r>
    </w:p>
    <w:p>
      <w:pPr>
        <w:ind w:left="780"/>
      </w:pPr>
      <w:r>
        <w:t xml:space="preserve">i) Die §§ 7 bis 20 des Straßenverkehrsgesetzes finden nur auf solche Schadensereignisse Anwendung, die nach Wirksamwerden des Beitritts eingetreten sind.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