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6g StVG — Internetbasierte Zulassungsverfahren bei Kraftfahrzeugen</w:t>
      </w:r>
    </w:p>
    <w:p>
      <w:r>
        <w:rPr>
          <w:color w:val="555555"/>
          <w:sz w:val="18"/>
        </w:rPr>
        <w:t xml:space="preserve">Straßenverkehrsgesetz</w:t>
      </w:r>
    </w:p>
    <w:p>
      <w:r>
        <w:rPr>
          <w:color w:val="555555"/>
          <w:sz w:val="18"/>
        </w:rPr>
        <w:t xml:space="preserve">Stand: 01.07.2026 (konsolidierte Textfassung, kein amtliches Inkrafttretensdatum)</w:t>
      </w:r>
    </w:p>
    <w:p>
      <w:r>
        <w:t xml:space="preserve">(1) In Ergänzung der allgemeinen Vorschriften über die Zulassung von Fahrzeugen zum Straßenverkehr, die Zuteilung von Kennzeichen für zulassungsfreie Fahrzeuge und die Außerbetriebsetzung von Fahrzeugen können diese Verwaltungsverfahren nach Maßgabe der nachstehenden Vorschriften internetbasiert durchgeführt werden (internetbasierte Zulassung). Für dieses Verwaltungsverfahren ist das Verwaltungsverfahrensgesetz anzuwenden.</w:t>
      </w:r>
    </w:p>
    <w:p>
      <w:r>
        <w:t xml:space="preserve">(2) Ein Verwaltungsakt kann nach näherer Bestimmung einer Rechtsverordnung nach Absatz 4 Satz 1 Nummer 1 vollständig durch automatische Einrichtungen erlassen werden, wenn</w:t>
      </w:r>
    </w:p>
    <w:p>
      <w:pPr>
        <w:ind w:left="420"/>
      </w:pPr>
      <w:r>
        <w:t xml:space="preserve">1. die maschinelle Prüfung der Entscheidungsvoraussetzungen auf der Grundlage eines automatisierten Prüfprogrammes erfolgt, das bei der zuständigen Behörde eingerichtet ist und ausschließlich von ihr betrieben wird, und</w:t>
      </w:r>
    </w:p>
    <w:p>
      <w:pPr>
        <w:ind w:left="420"/>
      </w:pPr>
      <w:r>
        <w:t xml:space="preserve">2. sichergestellt ist, dass das Ergebnis der Prüfung nur die antragsgemäße Bescheidung oder die Ablehnung des Antrages sein kann.</w:t>
      </w:r>
    </w:p>
    <w:p>
      <w:r>
        <w:t xml:space="preserve">Ein nach Satz 1 erlassener Verwaltungsakt steht einen Monat, beginnend mit dem Tag, an dem der Verwaltungsakt wirksam wird, unter dem Vorbehalt der Nachprüfung. Solange der Vorbehalt wirksam ist, kann der Verwaltungsakt jederzeit aufgehoben oder geändert werden.</w:t>
      </w:r>
    </w:p>
    <w:p>
      <w:r>
        <w:t xml:space="preserve">(3) Nach näherer Bestimmung einer Rechtsverordnung nach Absatz 4 Satz 1 Nummer 3 bis 5 können</w:t>
      </w:r>
    </w:p>
    <w:p>
      <w:pPr>
        <w:ind w:left="420"/>
      </w:pPr>
      <w:r>
        <w:t xml:space="preserve">1. natürlichen oder juristischen Personen des Privatrechts bestimmte Aufgaben eines internetbasierten Zulassungsverfahrens, ausgenommen die Entscheidung über den Antrag, oder bei der Inbetriebnahme derart zugelassener Fahrzeuge übertragen werden (Beleihung) oder</w:t>
      </w:r>
    </w:p>
    <w:p>
      <w:pPr>
        <w:ind w:left="420"/>
      </w:pPr>
      <w:r>
        <w:t xml:space="preserve">2. natürliche oder juristische Personen des Privatrechts beauftragt werden, an der Durchführung von Aufgaben im Sinne der Nummer 1 mitzuwirken (Verwaltungshilfe).</w:t>
      </w:r>
    </w:p>
    <w:p>
      <w:r>
        <w:t xml:space="preserve">Personen im Sinne des Satzes 1 müssen fachlich geeignet, zuverlässig, auch hinsichtlich ihrer Finanzen, und unabhängig von den Interessen der sonstigen Beteiligten sein.</w:t>
      </w:r>
    </w:p>
    <w:p>
      <w:r>
        <w:t xml:space="preserve">(4) Das Bundesministerium für Verkehr wird ermächtigt, durch Rechtsverordnung mit Zustimmung des Bundesrates</w:t>
      </w:r>
    </w:p>
    <w:p>
      <w:pPr>
        <w:ind w:left="420"/>
      </w:pPr>
      <w:r>
        <w:t xml:space="preserve">1. die Einzelheiten des Erlasses und der Aufhebung eines Verwaltungsaktes im Sinne des Absatzes 2 zu regeln, insbesondere</w:t>
      </w:r>
    </w:p>
    <w:p>
      <w:pPr>
        <w:ind w:left="780"/>
      </w:pPr>
      <w:r>
        <w:t xml:space="preserve">a) die Anforderungen an das Prüfprogramm,</w:t>
      </w:r>
    </w:p>
    <w:p>
      <w:pPr>
        <w:ind w:left="780"/>
      </w:pPr>
      <w:r>
        <w:t xml:space="preserve">b) besondere Bestimmungen zur Bekanntgabe, zur Wirksamkeit sowie zur Rücknahme und zum Widerruf des Verwaltungsaktes,</w:t>
      </w:r>
    </w:p>
    <w:p>
      <w:pPr>
        <w:ind w:left="420"/>
      </w:pPr>
      <w:r>
        <w:t xml:space="preserve">2. das für die Identifizierung von Antragstellern zu wahrende Vertrauensniveau zu regeln,</w:t>
      </w:r>
    </w:p>
    <w:p>
      <w:pPr>
        <w:ind w:left="420"/>
      </w:pPr>
      <w:r>
        <w:t xml:space="preserve">3. die Aufgaben im Sinne des Absatzes 3 zu bestimmen,</w:t>
      </w:r>
    </w:p>
    <w:p>
      <w:pPr>
        <w:ind w:left="780"/>
      </w:pPr>
      <w:r>
        <w:t xml:space="preserve">a) mit denen Personen beliehen oder</w:t>
      </w:r>
    </w:p>
    <w:p>
      <w:pPr>
        <w:ind w:left="780"/>
      </w:pPr>
      <w:r>
        <w:t xml:space="preserve">b) an deren Durchführung Verwaltungshelfer beteiligt</w:t>
      </w:r>
    </w:p>
    <w:p>
      <w:pPr>
        <w:ind w:left="420"/>
      </w:pPr>
      <w:r>
        <w:t xml:space="preserve">werden können, sowie die Art und Weise der Aufgabenerledigung,</w:t>
      </w:r>
    </w:p>
    <w:p>
      <w:pPr>
        <w:ind w:left="420"/>
      </w:pPr>
      <w:r>
        <w:t xml:space="preserve">4. die näheren Anforderungen an Personen im Sinne des Absatzes 3 zu bestimmen, einschließlich deren Überwachung, des Verfahrens und des Zusammenwirkens der zuständigen Behörden bei der Überwachung,</w:t>
      </w:r>
    </w:p>
    <w:p>
      <w:pPr>
        <w:ind w:left="420"/>
      </w:pPr>
      <w:r>
        <w:t xml:space="preserve">5. die notwendige Haftpflichtversicherung der beliehenen oder beauftragten Person zur Deckung aller im Zusammenhang mit der Wahrnehmung der übertragenen Aufgabe oder der Hilfe zur Erfüllung der Aufgabe entstandenen Schäden sowie die Freistellung der für Übertragung oder Beauftragung und Aufsicht zuständigen Bundesbehörde oder Landesbehörde von Ansprüchen Dritter wegen etwaiger Schäden, die die beliehene oder beauftragte Person verursacht, zu regeln,</w:t>
      </w:r>
    </w:p>
    <w:p>
      <w:pPr>
        <w:ind w:left="420"/>
      </w:pPr>
      <w:r>
        <w:t xml:space="preserve">6. bestimmte Aufgaben eines internetbasierten Zulassungsverfahrens dem Kraftfahrt-Bundesamt zu übertragen, soweit die Aufgaben eine bundeseinheitliche Durchführung erfordern, und das Zusammenwirken mit den für die Zulassung zuständigen Behörden zu regeln,</w:t>
      </w:r>
    </w:p>
    <w:p>
      <w:pPr>
        <w:ind w:left="420"/>
      </w:pPr>
      <w:r>
        <w:t xml:space="preserve">7. besondere Anforderungen an die Inbetriebnahme von Fahrzeugen, die internetbasiert zugelassen sind, zu regeln, insbesondere hinsichtlich</w:t>
      </w:r>
    </w:p>
    <w:p>
      <w:pPr>
        <w:ind w:left="780"/>
      </w:pPr>
      <w:r>
        <w:t xml:space="preserve">a) des Verwendens befristet gültiger Kennzeichenschilder einschließlich deren Herstellung, Ausstellung, Anbringung und Gültigkeitsdauer,</w:t>
      </w:r>
    </w:p>
    <w:p>
      <w:pPr>
        <w:ind w:left="780"/>
      </w:pPr>
      <w:r>
        <w:t xml:space="preserve">b) des Versandes von Zulassungsunterlagen und der endgültigen Kennzeichenschilder,</w:t>
      </w:r>
    </w:p>
    <w:p>
      <w:pPr>
        <w:ind w:left="420"/>
      </w:pPr>
      <w:r>
        <w:t xml:space="preserve">8. die Errichtung und den Betrieb eines zentralen Dateisystems beim Kraftfahrt-Bundesamt</w:t>
      </w:r>
    </w:p>
    <w:p>
      <w:pPr>
        <w:ind w:left="780"/>
      </w:pPr>
      <w:r>
        <w:t xml:space="preserve">a) mit fahrzeugbezogenen Daten, die für die Prüfung der Zulassungsfähigkeit der Fahrzeuge erforderlich sind, insbesondere mit den Daten der unionsrechtlich vorgeschriebenen Übereinstimmungsbescheinigungen einschließlich der Fahrzeug-Identifizierungsnummer,</w:t>
      </w:r>
    </w:p>
    <w:p>
      <w:pPr>
        <w:ind w:left="780"/>
      </w:pPr>
      <w:r>
        <w:t xml:space="preserve">b) mit den Daten der Fahrzeuge, die Auskunft über nach oder auf Grund von Unionsrecht einzuhaltende Fahrzeugeigenschaften geben,</w:t>
      </w:r>
    </w:p>
    <w:p>
      <w:pPr>
        <w:ind w:left="420"/>
      </w:pPr>
      <w:r>
        <w:t xml:space="preserve">sowie die Pflicht zur Übermittlung dieser Daten durch die Hersteller oder Einführer der Fahrzeuge zu regeln,</w:t>
      </w:r>
    </w:p>
    <w:p>
      <w:pPr>
        <w:ind w:left="420"/>
      </w:pPr>
      <w:r>
        <w:t xml:space="preserve">9. die Durchführung anderer als straßenverkehrsrechtlicher Rechtsvorschriften bei einer internetbasierten Zulassung zu regeln.</w:t>
      </w:r>
    </w:p>
    <w:p>
      <w:r>
        <w:t xml:space="preserve">Das in Satz 1 Nummer 8 vorgesehene Dateisystem darf weder mit dem Zentralen Fahrzeugregister des Kraftfahrt-Bundesamtes noch mit den örtlichen Fahrzeugregistern der Zulassungsbehörden verknüpft werden.</w:t>
      </w:r>
    </w:p>
    <w:p>
      <w:r>
        <w:t xml:space="preserve">(5) Für Vorschriften des Verwaltungsverfahrens in den Absätzen 1 bis 3 und in Rechtsverordnungen auf Grund des Absatzes 4 kann durch Rechtsverordnung des Bundesministeriums für Verkehr mit Zustimmung des Bundesrates vorgeschrieben werden, dass von diesen Vorschriften durch Landesrecht nicht abgewichen werden kann. Die Vorschriften, von denen durch Landesrecht nicht abgewichen werden kann, sind dabei zu nennen.</w:t>
      </w:r>
    </w:p>
    <w:p>
      <w:r>
        <w:rPr>
          <w:color w:val="555555"/>
          <w:sz w:val="17"/>
        </w:rPr>
        <w:t xml:space="preserve">Zitiervorschlag: § 6g StVG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https://recht.nulegal.eu/gesetze/StVG/6g</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