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6c StVG — Herstellung, Vertrieb und Ausgabe von Kennzeichenvorprodukten</w:t>
      </w:r>
    </w:p>
    <w:p>
      <w:r>
        <w:rPr>
          <w:color w:val="555555"/>
          <w:sz w:val="18"/>
        </w:rPr>
        <w:t xml:space="preserve">Straßenverkehrsgesetz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§ 6b Abs. 1, 3, 4 Nr. 1 sowie Abs. 5 gilt entsprechend für die Herstellung, den Vertrieb oder die Ausgabe von bestimmten - nach näherer Bestimmung durch das Bundesministerium für Verkehr festzulegenden (§ 6 Absatz 1 Satz 1 Nummer 6 in Verbindung mit Absatz 3 Nummer 2) - Kennzeichenvorprodukten, bei denen nur noch die Beschriftung fehlt.</w:t>
      </w:r>
    </w:p>
    <w:p>
      <w:r>
        <w:rPr>
          <w:color w:val="555555"/>
          <w:sz w:val="17"/>
        </w:rPr>
        <w:t xml:space="preserve">Zitiervorschlag: § 6c StVG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https://recht.nulegal.eu/gesetze/StVG/6c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