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63d StVG — Informationen an die Halter</w:t>
      </w:r>
    </w:p>
    <w:p>
      <w:r>
        <w:rPr>
          <w:color w:val="555555"/>
          <w:sz w:val="18"/>
        </w:rPr>
        <w:t xml:space="preserve">Straßenverkehrsgesetz</w:t>
      </w:r>
    </w:p>
    <w:p>
      <w:r>
        <w:rPr>
          <w:color w:val="555555"/>
          <w:sz w:val="18"/>
        </w:rPr>
        <w:t xml:space="preserve">Stand: 01.07.2026 (konsolidierte Textfassung, kein amtliches Inkrafttretensdatum)</w:t>
      </w:r>
    </w:p>
    <w:p>
      <w:r>
        <w:t xml:space="preserve">Das Kraftfahrt-Bundesamt darf die nach § 33 Absatz 1 gespeicherten Fahrzeugdaten und Halterdaten im Einvernehmen mit dem Bundesministerium für Verkehr zu den in § 32 Absatz 3 genannten Zwecken verwenden und im Einzelfall schriftliche Informationen an die Fahrzeughalter übermitteln, um sie über Maßnahmen im Sinne des § 32 Absatz 3 zu informieren. Das Bundesministerium für Verkehr erteilt sein Einvernehmen nach Satz 1, wenn es die jeweilige Maßnahme für geeignet hält, die in § 32 Absatz 3 Nummer 2 genannten Zwecke unter Berücksichtigung der Umstände des Einzelfalls und unter Abwägung dieser Zwecke mit den Interessen der betroffenen Fahrzeughalter angemessen zu fördern. Die Eignung der angemessenen Zweckförderung wird bei staatlich geförderten Maßnahmen vermutet, so dass das Einvernehmen ohne nähere Prüfung erteilt werden darf.</w:t>
      </w:r>
    </w:p>
    <w:p>
      <w:r>
        <w:rPr>
          <w:color w:val="555555"/>
          <w:sz w:val="17"/>
        </w:rPr>
        <w:t xml:space="preserve">Zitiervorschlag: § 63d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