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StVG — Verordnungsermächtigungen, Ausführungsvorschriften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für Verkehr wird ermächtigt, Rechtsverordnungen mit Zustimmung des Bundesrates zu erlassen</w:t>
      </w:r>
    </w:p>
    <w:p>
      <w:pPr>
        <w:ind w:left="420"/>
      </w:pPr>
      <w:r>
        <w:t xml:space="preserve">1. über die Übermittlung der Daten durch den Hersteller von Führerscheinen an das Kraftfahrt-Bundesamt und die dortige Speicherung nach § 48 Abs. 3 Satz 4,</w:t>
      </w:r>
    </w:p>
    <w:p>
      <w:pPr>
        <w:ind w:left="420"/>
      </w:pPr>
      <w:r>
        <w:t xml:space="preserve">2. darüber, welche Daten nach § 50 Abs. 1 Nr. 2 und Abs. 2 Nr. 2 im örtlichen und im Zentralen Fahrerlaubnisregister jeweils gespeichert werden dürfen,</w:t>
      </w:r>
    </w:p>
    <w:p>
      <w:pPr>
        <w:ind w:left="420"/>
      </w:pPr>
      <w:r>
        <w:t xml:space="preserve">3. über die Art und den Umfang der zu übermittelnden Daten nach den §§ 52 und 55 sowie die Bestimmung der Empfänger und den Geschäftsweg bei Übermittlungen nach § 55,</w:t>
      </w:r>
    </w:p>
    <w:p>
      <w:pPr>
        <w:ind w:left="420"/>
      </w:pPr>
      <w:r>
        <w:t xml:space="preserve">4. über die Art und den Umfang der zu übermittelnden Daten, die Maßnahmen zur Sicherung gegen Missbrauch und die weiteren Aufzeichnungen beim Abruf im automatisierten Verfahren nach § 53,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darüber, welche Daten durch Abruf im automatisierten Verfahren nach § 56 übermittelt werden dürfen,</w:t>
      </w:r>
    </w:p>
    <w:p>
      <w:pPr>
        <w:ind w:left="420"/>
      </w:pPr>
      <w:r>
        <w:t xml:space="preserve">7. über die Bestimmung, welche ausländischen öffentlichen Stellen zum Abruf im automatisierten Verfahren nach § 56 befugt sind,</w:t>
      </w:r>
    </w:p>
    <w:p>
      <w:pPr>
        <w:ind w:left="420"/>
      </w:pPr>
      <w:r>
        <w:t xml:space="preserve">8. über den Identitätsnachweis bei Auskünften nach § 58 und</w:t>
      </w:r>
    </w:p>
    <w:p>
      <w:pPr>
        <w:ind w:left="420"/>
      </w:pPr>
      <w:r>
        <w:t xml:space="preserve">9. über Sonderbestimmungen für die Fahrerlaubnisregister der Bundeswehr nach § 62 Abs. 4 Satz 2.</w:t>
      </w:r>
    </w:p>
    <w:p>
      <w:r>
        <w:rPr>
          <w:color w:val="555555"/>
          <w:sz w:val="17"/>
        </w:rPr>
        <w:t xml:space="preserve">Zitiervorschlag: § 63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