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StVG — Verordnungsermächtigungen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Das Bundesministerium für Verkehr wird ermächtigt, soweit es zur Abwehr von Gefahren für die Sicherheit oder Leichtigkeit des Verkehrs auf öffentlichen Straßen erforderlich ist, Rechtsverordnungen mit Zustimmung des Bundesrates über Folgendes zu erlassen:</w:t>
      </w:r>
    </w:p>
    <w:p>
      <w:pPr>
        <w:ind w:left="420"/>
      </w:pPr>
      <w:r>
        <w:t xml:space="preserve">1. die Zulassung von Personen zum Straßenverkehr, insbesondere über</w:t>
      </w:r>
    </w:p>
    <w:p>
      <w:pPr>
        <w:ind w:left="780"/>
      </w:pPr>
      <w:r>
        <w:t xml:space="preserve">a) den Inhalt und die Gültigkeitsdauer von Fahrerlaubnissen, insbesondere unterschieden nach Fahrerlaubnisklassen, über die Probezeit sowie über Auflagen und Beschränkungen zu Fahrerlaubnissen,</w:t>
      </w:r>
    </w:p>
    <w:p>
      <w:pPr>
        <w:ind w:left="780"/>
      </w:pPr>
      <w:r>
        <w:t xml:space="preserve">b) die erforderliche Befähigung und Eignung von Personen für ihre Teilnahme am Straßenverkehr, das Mindestalter und die sonstigen Anforderungen und Voraussetzungen zur Teilnahme am Straßenverkehr,</w:t>
      </w:r>
    </w:p>
    <w:p>
      <w:pPr>
        <w:ind w:left="780"/>
      </w:pPr>
      <w:r>
        <w:t xml:space="preserve">c) die Ausbildung und die Fortbildung von Personen zur Herstellung und zum Erhalt der Voraussetzungen nach Buchstabe b und die sonstigen Maßnahmen, um die sichere Teilnahme von Personen am Straßenverkehr zu gewährleisten, insbesondere hinsichtlich Personen, die nur bedingt geeignet oder ungeeignet oder nicht befähigt zur Teilnahme am Straßenverkehr sind,</w:t>
      </w:r>
    </w:p>
    <w:p>
      <w:pPr>
        <w:ind w:left="780"/>
      </w:pPr>
      <w:r>
        <w:t xml:space="preserve">d) die Prüfung und Beurteilung des Erfüllens der Voraussetzungen nach den Buchstaben b und c,</w:t>
      </w:r>
    </w:p>
    <w:p>
      <w:pPr>
        <w:ind w:left="780"/>
      </w:pPr>
      <w:r>
        <w:t xml:space="preserve">e) Ausnahmen von einzelnen Anforderungen und Inhalten der Zulassung von Personen, insbesondere von der Fahrerlaubnispflicht und von einzelnen Erteilungsvoraussetzungen,</w:t>
      </w:r>
    </w:p>
    <w:p>
      <w:pPr>
        <w:ind w:left="420"/>
      </w:pPr>
      <w:r>
        <w:t xml:space="preserve">2. das Verhalten im Verkehr, auch im ruhenden Verkehr,</w:t>
      </w:r>
    </w:p>
    <w:p>
      <w:pPr>
        <w:ind w:left="420"/>
      </w:pPr>
      <w:r>
        <w:t xml:space="preserve">3. das Verhalten der Beteiligten nach einem Verkehrsunfall, das geboten ist, um</w:t>
      </w:r>
    </w:p>
    <w:p>
      <w:pPr>
        <w:ind w:left="780"/>
      </w:pPr>
      <w:r>
        <w:t xml:space="preserve">a) den Verkehr zu sichern und Verletzten zu helfen,</w:t>
      </w:r>
    </w:p>
    <w:p>
      <w:pPr>
        <w:ind w:left="780"/>
      </w:pPr>
      <w:r>
        <w:t xml:space="preserve">b) Feststellungen zu ermöglichen, die zur Geltendmachung oder Abwehr von zivilrechtlichen Schadensersatzansprüchen erforderlich sind, insbesondere Feststellungen zur Person der Beteiligten, zur Art ihrer Beteiligung, zum Unfallhergang und zum Versicherer der unfallbeteiligten Fahrzeuge,</w:t>
      </w:r>
    </w:p>
    <w:p>
      <w:pPr>
        <w:ind w:left="420"/>
      </w:pPr>
      <w:r>
        <w:t xml:space="preserve">4. die Bezeichnung von im Fahreignungsregister zu speichernden Straftaten und Ordnungswidrigkeiten</w:t>
      </w:r>
    </w:p>
    <w:p>
      <w:pPr>
        <w:ind w:left="780"/>
      </w:pPr>
      <w:r>
        <w:t xml:space="preserve">a) für die Maßnahmen nach den Regelungen der Fahrerlaubnis auf Probe nebst der Bewertung dieser Straftaten und Ordnungswidrigkeiten als schwerwiegend oder weniger schwerwiegend,</w:t>
      </w:r>
    </w:p>
    <w:p>
      <w:pPr>
        <w:ind w:left="780"/>
      </w:pPr>
      <w:r>
        <w:t xml:space="preserve">b) für die Maßnahmen des Fahreignungsbewertungssystems, wobei</w:t>
      </w:r>
    </w:p>
    <w:p>
      <w:pPr>
        <w:ind w:left="1140"/>
      </w:pPr>
      <w:r>
        <w:t xml:space="preserve">aa) bei der Bezeichnung von Straftaten deren Bedeutung für die Sicherheit im Straßenverkehr zugrunde zu legen ist,</w:t>
      </w:r>
    </w:p>
    <w:p>
      <w:pPr>
        <w:ind w:left="1140"/>
      </w:pPr>
      <w:r>
        <w:t xml:space="preserve">bb) Ordnungswidrigkeiten mit Punkten bewertet werden und bei der Bezeichnung und Bewertung von Ordnungswidrigkeiten deren jeweilige Bedeutung für die Sicherheit des Straßenverkehrs und die Höhe des angedrohten Regelsatzes der Geldbuße oder eines Regelfahrverbotes zugrunde zu legen sind,</w:t>
      </w:r>
    </w:p>
    <w:p>
      <w:pPr>
        <w:ind w:left="420"/>
      </w:pPr>
      <w:r>
        <w:t xml:space="preserve">5. die Anforderungen an</w:t>
      </w:r>
    </w:p>
    <w:p>
      <w:pPr>
        <w:ind w:left="780"/>
      </w:pPr>
      <w:r>
        <w:t xml:space="preserve">a) Bau, Einrichtung, Ausrüstung, Beschaffenheit, Prüfung und Betrieb von Fahrzeugen,</w:t>
      </w:r>
    </w:p>
    <w:p>
      <w:pPr>
        <w:ind w:left="780"/>
      </w:pPr>
      <w:r>
        <w:t xml:space="preserve">b) die in oder auf Fahrzeugen einzubauenden oder zu verwendenden Fahrzeugteile, insbesondere Anlagen, Bauteile, Instrumente, Geräte und sonstige Ausrüstungsgegenstände, einschließlich deren Prüfung,</w:t>
      </w:r>
    </w:p>
    <w:p>
      <w:pPr>
        <w:ind w:left="420"/>
      </w:pPr>
      <w:r>
        <w:t xml:space="preserve">6. die Zulassung von Fahrzeugen zum Straßenverkehr, insbesondere über</w:t>
      </w:r>
    </w:p>
    <w:p>
      <w:pPr>
        <w:ind w:left="780"/>
      </w:pPr>
      <w:r>
        <w:t xml:space="preserve">a) die Voraussetzungen für die Zulassung, die Vorgaben für das Inbetriebsetzen zulassungspflichtiger und zulassungsfreier Fahrzeuge, die regelmäßige Untersuchung der Fahrzeuge sowie über die Verantwortung, die Pflichten und die Rechte der Halter,</w:t>
      </w:r>
    </w:p>
    <w:p>
      <w:pPr>
        <w:ind w:left="780"/>
      </w:pPr>
      <w:r>
        <w:t xml:space="preserve">b) Ausnahmen von der Pflicht zur Zulassung sowie Ausnahmen von einzelnen Anforderungen nach Buchstabe a,</w:t>
      </w:r>
    </w:p>
    <w:p>
      <w:pPr>
        <w:ind w:left="420"/>
      </w:pPr>
      <w:r>
        <w:t xml:space="preserve">7. die Einrichtung einer zentralen Stelle zur Erarbeitung und Evaluierung von verbindlichen Prüfvorgaben bei regelmäßigen Fahrzeuguntersuchungen,</w:t>
      </w:r>
    </w:p>
    <w:p>
      <w:pPr>
        <w:ind w:left="420"/>
      </w:pPr>
      <w:r>
        <w:t xml:space="preserve">8. die zur Verhütung von Belästigungen anderer, zur Verhütung von schädlichen Umwelteinwirkungen im Sinne des Bundes-Immissionsschutzgesetzes oder zur Unterstützung einer geordneten städtebaulichen Entwicklung erforderlichen Maßnahmen,</w:t>
      </w:r>
    </w:p>
    <w:p>
      <w:pPr>
        <w:ind w:left="420"/>
      </w:pPr>
      <w:r>
        <w:t xml:space="preserve">9. die Maßnahmen</w:t>
      </w:r>
    </w:p>
    <w:p>
      <w:pPr>
        <w:ind w:left="780"/>
      </w:pPr>
      <w:r>
        <w:t xml:space="preserve">a) über den Straßenverkehr, die zur Erhaltung der öffentlichen Sicherheit oder zu Verteidigungszwecken erforderlich sind,</w:t>
      </w:r>
    </w:p>
    <w:p>
      <w:pPr>
        <w:ind w:left="780"/>
      </w:pPr>
      <w:r>
        <w:t xml:space="preserve">b) zur Durchführung von Großraum- und Schwertransporten,</w:t>
      </w:r>
    </w:p>
    <w:p>
      <w:pPr>
        <w:ind w:left="780"/>
      </w:pPr>
      <w:r>
        <w:t xml:space="preserve">c) im Übrigen, die zur Erhaltung der Sicherheit und Ordnung auf öffentlichen Straßen oder zur Verhütung einer über das verkehrsübliche Maß hinausgehenden Abnutzung der Straßen erforderlich sind, insbesondere bei Großveranstaltungen,</w:t>
      </w:r>
    </w:p>
    <w:p>
      <w:pPr>
        <w:ind w:left="420"/>
      </w:pPr>
      <w:r>
        <w:t xml:space="preserve">10. das Anbieten zum Verkauf, das Veräußern, das Verwenden, das Erwerben oder das sonstige Inverkehrbringen von Fahrzeugen und Fahrzeugteilen,</w:t>
      </w:r>
    </w:p>
    <w:p>
      <w:pPr>
        <w:ind w:left="420"/>
      </w:pPr>
      <w:r>
        <w:t xml:space="preserve">11. die Kennzeichnung und die Anforderungen an die Kennzeichnung von Fahrzeugen und Fahrzeugteilen,</w:t>
      </w:r>
    </w:p>
    <w:p>
      <w:pPr>
        <w:ind w:left="420"/>
      </w:pPr>
      <w:r>
        <w:t xml:space="preserve">12. den Nachweis über die Entsorgung oder den sonstigen Verbleib von Fahrzeugen und Fahrzeugteilen, auch nach ihrer Außerbetriebsetzung,</w:t>
      </w:r>
    </w:p>
    <w:p>
      <w:pPr>
        <w:ind w:left="420"/>
      </w:pPr>
      <w:r>
        <w:t xml:space="preserve">13. die Ermittlung, das Auffinden und die Sicherstellung von gestohlenen, verlorengegangenen oder sonst abhanden gekommenen Fahrzeugen, Fahrzeugkennzeichen sowie Führerscheinen und Fahrzeugpapieren einschließlich ihrer Vordrucke, soweit nicht die Strafverfolgungsbehörden hierfür zuständig sind,</w:t>
      </w:r>
    </w:p>
    <w:p>
      <w:pPr>
        <w:ind w:left="420"/>
      </w:pPr>
      <w:r>
        <w:t xml:space="preserve">14. die Überwachung der gewerbsmäßigen Vermietung von Kraftfahrzeugen und Anhängern an Selbstfahrer,</w:t>
      </w:r>
    </w:p>
    <w:p>
      <w:pPr>
        <w:ind w:left="420"/>
      </w:pPr>
      <w:r>
        <w:t xml:space="preserve">15. die Beschränkung des Straßenverkehrs einschließlich des ruhenden Verkehrs</w:t>
      </w:r>
    </w:p>
    <w:p>
      <w:pPr>
        <w:ind w:left="780"/>
      </w:pPr>
      <w:r>
        <w:t xml:space="preserve">a) zugunsten schwerbehinderter Menschen mit mobilitätsbezogenen Beeinträchtigungen,</w:t>
      </w:r>
    </w:p>
    <w:p>
      <w:pPr>
        <w:ind w:left="780"/>
      </w:pPr>
      <w:r>
        <w:t xml:space="preserve">b) zugunsten der Bewohner und bestimmter Personengruppen mit besonderem Gebietsbezug oder mit besonderem gebietsübergreifenden Parkraumbedarf in Gebieten mit erheblichem Parkraummangel, der nachweislich besteht oder auf Grund konkretisierter städtebaulich-verkehrsplanerischer Erwägungen zu erwarten ist,</w:t>
      </w:r>
    </w:p>
    <w:p>
      <w:pPr>
        <w:ind w:left="780"/>
      </w:pPr>
      <w:r>
        <w:t xml:space="preserve">c) zur Erforschung des Unfallgeschehens, des Verkehrsverhaltens, der Verkehrsabläufe oder zur Erprobung geplanter verkehrssichernder oder verkehrsregelnder Maßnahmen,</w:t>
      </w:r>
    </w:p>
    <w:p>
      <w:pPr>
        <w:ind w:left="420"/>
      </w:pPr>
      <w:r>
        <w:t xml:space="preserve">16. die Einrichtung von Sonderfahrspuren für Linienomnibusse und Taxen sowie zur Erprobung neuer Mobilitätsformen oder der Verringerung der Anzahl von Fahrten,</w:t>
      </w:r>
    </w:p>
    <w:p>
      <w:pPr>
        <w:ind w:left="420"/>
      </w:pPr>
      <w:r>
        <w:t xml:space="preserve">17. die Einrichtung und Nutzung von fahrzeugführerlosen Parksystemen im niedrigen Geschwindigkeitsbereich auf Parkflächen,</w:t>
      </w:r>
    </w:p>
    <w:p>
      <w:pPr>
        <w:ind w:left="420"/>
      </w:pPr>
      <w:r>
        <w:t xml:space="preserve">18. allgemeine Ausnahmen von den Verkehrsvorschriften nach Abschnitt I oder von auf Grund dieser Verkehrsvorschriften erlassener Rechtsverordnungen zur Durchführung von Versuchen, die eine Weiterentwicklung dieser Rechtsnormen zum Gegenstand haben,</w:t>
      </w:r>
    </w:p>
    <w:p>
      <w:pPr>
        <w:ind w:left="420"/>
      </w:pPr>
      <w:r>
        <w:t xml:space="preserve">19. die Befugnis von Personal der Bundeswehr zur dringend gebotenen Verkehrsregelung bei Durchführung von militärisch notwendigen Verkehrsbewegungen zur Erfüllung von Aufgaben der Landes- und Bündnisverteidigung.</w:t>
      </w:r>
    </w:p>
    <w:p>
      <w:r>
        <w:t xml:space="preserve">Rechtsverordnungen nach Satz 1 Nummer 18 über allgemeine Ausnahmen von Verkehrsvorschriften nach diesem Gesetz sind für die Dauer von längstens fünf Jahren zu befristen; eine einmalige Verlängerung der Geltungsdauer um längstens fünf Jahre ist zulässig. Rechtsverordnungen können nicht nach Satz 1 erlassen werden über solche Regelungsgegenstände, über die Rechtsverordnungen nach Absatz 2 erlassen werden dürfen. Die Abwehr von Gefahren für die Sicherheit oder Leichtigkeit des Verkehrs auf öffentlichen Straßen nach Satz 1 umfasst auch den straßenverkehrsrechtlichen Schutz von Maßnahmen zur Rettung aus Gefahren für Leib und Leben von Menschen oder den Schutz zivilrechtlicher Schadensersatzansprüche Unfallbeteiligter.</w:t>
      </w:r>
    </w:p>
    <w:p>
      <w:r>
        <w:t xml:space="preserve">(2) Das Bundesministerium für Verkehr wird ermächtigt, soweit es zur Abwehr von Gefahren für die Sicherheit oder Leichtigkeit des Verkehrs auf öffentlichen Straßen erforderlich ist, Rechtsverordnungen ohne Zustimmung des Bundesrates über Folgendes zu erlassen:</w:t>
      </w:r>
    </w:p>
    <w:p>
      <w:pPr>
        <w:ind w:left="420"/>
      </w:pPr>
      <w:r>
        <w:t xml:space="preserve">1. die Typgenehmigung von Fahrzeugen, Systemen, Bauteilen und selbstständigen technischen Einheiten für diese Fahrzeuge, sofern sie unionsrechtlichen Vorgaben unterliegt, über die Fahrzeugeinzelgenehmigung, sofern ihr nach Unionrecht eine Geltung in allen Mitgliedstaaten der Europäischen Union zukommt, sowie über das Anbieten zum Verkauf, das Inverkehrbringen, die Inbetriebnahme, das Veräußern oder die Einfuhr von derart genehmigten oder genehmigungspflichtigen Fahrzeugen, Systemen, Bauteilen und selbstständigen technischen Einheiten für diese Fahrzeuge, insbesondere über</w:t>
      </w:r>
    </w:p>
    <w:p>
      <w:pPr>
        <w:ind w:left="780"/>
      </w:pPr>
      <w:r>
        <w:t xml:space="preserve">a) die Systematisierung von Fahrzeugen,</w:t>
      </w:r>
    </w:p>
    <w:p>
      <w:pPr>
        <w:ind w:left="780"/>
      </w:pPr>
      <w:r>
        <w:t xml:space="preserve">b) die technischen und baulichen Anforderungen an Fahrzeuge, Systeme, Bauteile und selbstständige technische Einheiten, einschließlich der durchzuführenden Prüfverfahren zur Feststellung der Konformität,</w:t>
      </w:r>
    </w:p>
    <w:p>
      <w:pPr>
        <w:ind w:left="780"/>
      </w:pPr>
      <w:r>
        <w:t xml:space="preserve">c) die Sicherstellung der Übereinstimmung von Fahrzeugen, Systemen, Bauteilen und selbstständigen technischen Einheiten für diese Fahrzeuge mit einem genehmigten Typ bei ihrer Herstellung,</w:t>
      </w:r>
    </w:p>
    <w:p>
      <w:pPr>
        <w:ind w:left="780"/>
      </w:pPr>
      <w:r>
        <w:t xml:space="preserve">d) den Zugang zu technischen Informationen sowie zu Reparatur- und Wartungsinformationen,</w:t>
      </w:r>
    </w:p>
    <w:p>
      <w:pPr>
        <w:ind w:left="780"/>
      </w:pPr>
      <w:r>
        <w:t xml:space="preserve">e) die Bewertung, Benennung und Überwachung von technischen Diensten,</w:t>
      </w:r>
    </w:p>
    <w:p>
      <w:pPr>
        <w:ind w:left="780"/>
      </w:pPr>
      <w:r>
        <w:t xml:space="preserve">f) die Kennzeichnung und Verpackung von Systemen, Bauteilen und selbstständigen technischen Einheiten für Fahrzeuge oder</w:t>
      </w:r>
    </w:p>
    <w:p>
      <w:pPr>
        <w:ind w:left="780"/>
      </w:pPr>
      <w:r>
        <w:t xml:space="preserve">g) die Zulassung von Teilen und Ausrüstungen, von denen eine ernste Gefahr für das einwandfreie Funktionieren wesentlicher Systeme von Fahrzeugen ausgehen kann,</w:t>
      </w:r>
    </w:p>
    <w:p>
      <w:pPr>
        <w:ind w:left="420"/>
      </w:pPr>
      <w:r>
        <w:t xml:space="preserve">2. die Marktüberwachung von Fahrzeugen, Systemen, Bauteilen und selbstständigen technischen Einheiten für diese Fahrzeuge,</w:t>
      </w:r>
    </w:p>
    <w:p>
      <w:pPr>
        <w:ind w:left="420"/>
      </w:pPr>
      <w:r>
        <w:t xml:space="preserve">3. die Pflichten der Hersteller und ihrer Bevollmächtigten, der Einführer sowie der Händler im Rahmen</w:t>
      </w:r>
    </w:p>
    <w:p>
      <w:pPr>
        <w:ind w:left="780"/>
      </w:pPr>
      <w:r>
        <w:t xml:space="preserve">a) des Typgenehmigungsverfahrens im Sinne der Nummer 1,</w:t>
      </w:r>
    </w:p>
    <w:p>
      <w:pPr>
        <w:ind w:left="780"/>
      </w:pPr>
      <w:r>
        <w:t xml:space="preserve">b) des Fahrzeugeinzelgenehmigungsverfahrens im Sinne der Nummer 1 oder</w:t>
      </w:r>
    </w:p>
    <w:p>
      <w:pPr>
        <w:ind w:left="780"/>
      </w:pPr>
      <w:r>
        <w:t xml:space="preserve">c) des Anbietens zum Verkauf, des Inverkehrbringens, der Inbetriebnahme, des Veräußerns, der Einfuhr sowie der Marktüberwachung von Fahrzeugen, Systemen, Bauteilen und selbstständigen technischen Einheiten für diese Fahrzeuge oder</w:t>
      </w:r>
    </w:p>
    <w:p>
      <w:pPr>
        <w:ind w:left="420"/>
      </w:pPr>
      <w:r>
        <w:t xml:space="preserve">4. die Technologien, Strategien und andere Mittel, für die festgestellt ist, dass</w:t>
      </w:r>
    </w:p>
    <w:p>
      <w:pPr>
        <w:ind w:left="780"/>
      </w:pPr>
      <w:r>
        <w:t xml:space="preserve">a) sie die Leistungen der Fahrzeuge, Systeme, Bauteile oder selbstständigen technischen Einheiten für Fahrzeuge bei Prüfverfahren unter ordnungsgemäßen Betriebsbedingungen verfälschen oder</w:t>
      </w:r>
    </w:p>
    <w:p>
      <w:pPr>
        <w:ind w:left="780"/>
      </w:pPr>
      <w:r>
        <w:t xml:space="preserve">b) ihre Verwendung im Rahmen des Typgenehmigungsverfahrens oder des Fahrzeugeinzelgenehmigungsverfahrens im Sinne der Nummer 1 aus anderen Gründen nicht zulässig ist.</w:t>
      </w:r>
    </w:p>
    <w:p>
      <w:r>
        <w:t xml:space="preserve">(3) In Rechtsverordnungen nach Absatz 1 oder Absatz 2 können hinsichtlich der dort genannten Gegenstände jeweils auch geregelt werden:</w:t>
      </w:r>
    </w:p>
    <w:p>
      <w:pPr>
        <w:ind w:left="420"/>
      </w:pPr>
      <w:r>
        <w:t xml:space="preserve">1. die Erteilung, Beschränkung oder Entziehung von Rechten, die sonstigen Maßnahmen zur Anordnung oder Umsetzung, die Anerkennung ausländischer Berechtigungen oder Maßnahmen, die Verwaltungsverfahren einschließlich der erforderlichen Nachweise sowie die Zuständigkeiten und die Ausnahmebefugnisse der vollziehenden Behörden im Einzelfall,</w:t>
      </w:r>
    </w:p>
    <w:p>
      <w:pPr>
        <w:ind w:left="420"/>
      </w:pPr>
      <w:r>
        <w:t xml:space="preserve">2. Art, Form, Beschaffenheit, Inhalt, Gestaltung, Gültigkeit, Herstellung, Erstellung, Lieferung, Ausfertigung, Verwendung und Überprüfung von Kennzeichen, Plaketten, Urkunden, insbesondere von Führerscheinen und Berichten, und von sonstigen Bescheinigungen, einschließlich der Verarbeitung personenbezogener Daten, soweit erforderlich, und der Beteiligung Dritter an den genannten Prozessen,</w:t>
      </w:r>
    </w:p>
    <w:p>
      <w:pPr>
        <w:ind w:left="420"/>
      </w:pPr>
      <w:r>
        <w:t xml:space="preserve">3. die Anerkennung, Zulassung, Registrierung, Akkreditierung, Begutachtung, Beaufsichtigung oder Überwachung von natürlichen oder juristischen Personen des Privatrechts oder von sonstigen Einrichtungen im Hinblick auf ihre Tätigkeiten</w:t>
      </w:r>
    </w:p>
    <w:p>
      <w:pPr>
        <w:ind w:left="780"/>
      </w:pPr>
      <w:r>
        <w:t xml:space="preserve">a) der Prüfung, Untersuchung, Beurteilung und Begutachtung von Personen, Fahrzeugen oder Fahrzeugteilen sowie der Herstellung und Lieferung nach Nummer 2,</w:t>
      </w:r>
    </w:p>
    <w:p>
      <w:pPr>
        <w:ind w:left="780"/>
      </w:pPr>
      <w:r>
        <w:t xml:space="preserve">b) des Anbietens von Maßnahmen zur Herstellung oder zum Erhalt der Voraussetzungen nach Absatz 1 Satz 1 Nummer 1 Buchstabe b oder</w:t>
      </w:r>
    </w:p>
    <w:p>
      <w:pPr>
        <w:ind w:left="780"/>
      </w:pPr>
      <w:r>
        <w:t xml:space="preserve">c) der Prüfung und Zertifizierung von Qualitätssicherungssystemen,</w:t>
      </w:r>
    </w:p>
    <w:p>
      <w:pPr>
        <w:ind w:left="420"/>
      </w:pPr>
      <w:r>
        <w:t xml:space="preserve">einschließlich der jeweiligen Voraussetzungen, insbesondere der Anforderungen an die natürlichen oder juristischen Personen des Privatrechts oder an die Einrichtungen, an ihre Träger und an ihre verantwortlichen oder ausführenden Personen, einschließlich der Vorgabe eines Erfahrungsaustausches sowie einschließlich der Verarbeitung von personenbezogenen Daten über die die Tätigkeiten ausführenden oder hieran teilnehmenden Personen durch die zuständigen Behörden, durch die natürlichen oder juristischen Personen des Privatrechts oder durch die Einrichtungen in dem Umfang, der für ihre jeweilige Tätigkeit und deren Qualitätssicherung erforderlich ist,</w:t>
      </w:r>
    </w:p>
    <w:p>
      <w:pPr>
        <w:ind w:left="420"/>
      </w:pPr>
      <w:r>
        <w:t xml:space="preserve">4. Emissionsgrenzwerte unter Berücksichtigung der technischen Entwicklung zum Zeitpunkt des Erlasses der jeweiligen Rechtsverordnung,</w:t>
      </w:r>
    </w:p>
    <w:p>
      <w:pPr>
        <w:ind w:left="420"/>
      </w:pPr>
      <w:r>
        <w:t xml:space="preserve">5. die Mitwirkung natürlicher oder juristischer Personen des Privatrechts bei der Aufgabenwahrnehmung in Form ihrer Beauftragung, bei der Durchführung von bestimmten Aufgaben zu helfen (Verwaltungshilfe), oder in Form der Übertragung bestimmter Aufgaben nach Absatz 1 Satz 1 Nummer 1, 5, 6, 7 oder 9 Buchstabe b oder Absatz 2 auf diese Personen (Beleihung), insbesondere</w:t>
      </w:r>
    </w:p>
    <w:p>
      <w:pPr>
        <w:ind w:left="780"/>
      </w:pPr>
      <w:r>
        <w:t xml:space="preserve">a) die Bestimmung der Aufgaben und die Art und Weise der Aufgabenerledigung,</w:t>
      </w:r>
    </w:p>
    <w:p>
      <w:pPr>
        <w:ind w:left="780"/>
      </w:pPr>
      <w:r>
        <w:t xml:space="preserve">b) die Anforderungen an diese Personen und ihre Überwachung einschließlich des Verfahrens und des Zusammenwirkens der zuständigen Behörden bei der Überwachung oder</w:t>
      </w:r>
    </w:p>
    <w:p>
      <w:pPr>
        <w:ind w:left="780"/>
      </w:pPr>
      <w:r>
        <w:t xml:space="preserve">c) die Verarbeitung von personenbezogenen Daten durch diese Personen, insbesondere die Übermittlung solcher Daten an die zuständige Behörde,</w:t>
      </w:r>
    </w:p>
    <w:p>
      <w:pPr>
        <w:ind w:left="420"/>
      </w:pPr>
      <w:r>
        <w:t xml:space="preserve">6. die Übertragung der Wahrnehmung von einzelnen Aufgaben auf die Bundesanstalt für Straßen- und Verkehrswesen oder das Kraftfahrt-Bundesamt oder</w:t>
      </w:r>
    </w:p>
    <w:p>
      <w:pPr>
        <w:ind w:left="420"/>
      </w:pPr>
      <w:r>
        <w:t xml:space="preserve">7. die notwendige Versicherung der natürlichen oder juristischen Personen des Privatrechts oder der sonstigen Einrichtungen in den Fällen der Nummer 3 oder Nummer 5 zur Deckung aller im Zusammenhang mit den dort genannten Tätigkeiten entstehenden Ansprüche sowie die Freistellung der für die Anerkennung, Zulassung, Registrierung, Akkreditierung, Begutachtung, Beaufsichtigung, Überwachung, Beauftragung oder Aufgabenübertragung zuständigen Bundes- oder Landesbehörde von Ansprüchen Dritter wegen Schäden, die diese Personen oder Einrichtungen verursachen.</w:t>
      </w:r>
    </w:p>
    <w:p>
      <w:r>
        <w:t xml:space="preserve">(4) Rechtsverordnungen nach Absatz 1 Satz 1 Nummer 1, 2, 5 und 8 oder Absatz 2, jeweils auch in Verbindung mit Absatz 3, können auch erlassen werden</w:t>
      </w:r>
    </w:p>
    <w:p>
      <w:pPr>
        <w:ind w:left="420"/>
      </w:pPr>
      <w:r>
        <w:t xml:space="preserve">1. zur Abwehr von Gefahren, die vom Verkehr auf öffentlichen Straßen ausgehen,</w:t>
      </w:r>
    </w:p>
    <w:p>
      <w:pPr>
        <w:ind w:left="420"/>
      </w:pPr>
      <w:r>
        <w:t xml:space="preserve">2. zum Schutz vor schädlichen Umwelteinwirkungen, die von Fahrzeugen ausgehen, oder</w:t>
      </w:r>
    </w:p>
    <w:p>
      <w:pPr>
        <w:ind w:left="420"/>
      </w:pPr>
      <w:r>
        <w:t xml:space="preserve">3. zum Schutz der Verbraucher.</w:t>
      </w:r>
    </w:p>
    <w:p>
      <w:r>
        <w:t xml:space="preserve">Rechtsverordnungen nach Absatz 1 Satz 1 Nummer 1, 2, 5 und 8, auch in Verbindung mit Absatz 3, können auch erlassen werden</w:t>
      </w:r>
    </w:p>
    <w:p>
      <w:pPr>
        <w:ind w:left="420"/>
      </w:pPr>
      <w:r>
        <w:t xml:space="preserve">1. zum Schutz der Bevölkerung in Fußgängerbereichen oder verkehrsberuhigten Bereichen, der Wohnbevölkerung oder der Erholungssuchenden vor Emissionen, die vom Verkehr auf öffentlichen Straßen ausgehen, insbesondere zum Schutz vor Lärm oder vor Abgasen,</w:t>
      </w:r>
    </w:p>
    <w:p>
      <w:pPr>
        <w:ind w:left="420"/>
      </w:pPr>
      <w:r>
        <w:t xml:space="preserve">2. für Sonderregelungen an Sonn- und Feiertagen oder</w:t>
      </w:r>
    </w:p>
    <w:p>
      <w:pPr>
        <w:ind w:left="420"/>
      </w:pPr>
      <w:r>
        <w:t xml:space="preserve">3. für Sonderregelungen über das Parken in der Zeit von 22 Uhr bis 6 Uhr.</w:t>
      </w:r>
    </w:p>
    <w:p>
      <w:r>
        <w:t xml:space="preserve">(4a) Rechtsverordnungen nach Absatz 1 Satz 1 Nummer 2, 8, 15 Buchstabe b oder c, Nummer 16 oder 18 können auch erlassen werden zur Verbesserung des Schutzes der Umwelt, darunter des Klimaschutzes, zum Schutz der Gesundheit oder zur Unterstützung der städtebaulichen Entwicklung, soweit sie nicht bereits nach Absatz 4 erlassen werden können. Diese Rechtsverordnungen sollen insbesondere vorsehen, dass Gemeinden bei den nach Landesrecht für die Ausführung der Rechtsverordnungen bestimmten Behörden den Erlass von Anordnungen zur Gewährleistung der Sicherheit und Leichtigkeit des Verkehrs, zur Verbesserung des Schutzes der Umwelt, zum Schutz der Gesundheit oder zur Unterstützung der städtebaulichen Entwicklung beantragen können. Die nach Satz 1 erlassenen Rechtsverordnungen und auf ihnen beruhenden Anordnungen müssen neben der Verbesserung des Schutzes der Umwelt, des Schutzes der Gesundheit oder der Unterstützung der städtebaulichen Entwicklung die Leichtigkeit des Verkehrs berücksichtigen und dürfen die Sicherheit des Verkehrs nicht beeinträchtigen.</w:t>
      </w:r>
    </w:p>
    <w:p>
      <w:r>
        <w:t xml:space="preserve">(5) Rechtsverordnungen nach Absatz 1 oder 2 können auch zur Durchführung von Rechtsakten der Europäischen Gemeinschaft oder der Europäischen Union und zur Durchführung von zwischenstaatlichen Vereinbarungen im Anwendungsbereich dieses Gesetzes erlassen werden.</w:t>
      </w:r>
    </w:p>
    <w:p>
      <w:r>
        <w:t xml:space="preserve">(6) Rechtsverordnungen nach Absatz 1 Satz 1 Nummer 1, 5 oder 8 oder nach Absatz 2, sofern sie jeweils in Verbindung mit Absatz 4 Satz 1 Nummer 2 oder Satz 2 Nummer 1 erlassen werden, oder Rechtsverordnungen nach Absatz 1 Satz 1 Nummer 12 werden vom Bundesministerium für Verkehr und vom Bundesministerium für Umwelt, Klimaschutz, Naturschutz und nukleare Sicherheit gemeinsam erlassen. Rechtsverordnungen nach Absatz 1 Satz 1 Nummer 11, 13 oder 14 oder nach Absatz 3 Nummer 2 in Verbindung mit Absatz 1 Nummer 1 oder 6 können auch zum Zweck der Bekämpfung von Straftaten erlassen werden. Im Fall des Satzes 2 werden diese Rechtsverordnungen vom Bundesministerium für Verkehr und vom Bundesministerium des Innern gemeinsam erlassen. Rechtsverordnungen nach Absatz 1 Satz 1 Nummer 1, 2, 5 oder 8 oder nach Absatz 2, sofern sie jeweils in Verbindung mit Absatz 4 Satz 1 Nummer 3 erlassen werden, oder Rechtsverordnungen nach Absatz 1 Satz 1 Nummer 2, 8, 15 Buchstabe b oder c, Nummer 16 oder 18, sofern sie jeweils in Verbindung mit Absatz 4a erlassen werden, werden vom Bundesministerium für Verkehr und vom Bundesministerium für Umwelt, Klimaschutz, Naturschutz und nukleare Sicherheit gemeinsam erlassen.</w:t>
      </w:r>
    </w:p>
    <w:p>
      <w:r>
        <w:t xml:space="preserve">(7) Keiner Zustimmung des Bundesrates bedürfen Rechtsverordnungen</w:t>
      </w:r>
    </w:p>
    <w:p>
      <w:pPr>
        <w:ind w:left="420"/>
      </w:pPr>
      <w:r>
        <w:t xml:space="preserve">1. zur Durchführung der Vorschriften nach Absatz 1 Satz 1 Nummer 5 in Verbindung mit Absatz 3,</w:t>
      </w:r>
    </w:p>
    <w:p>
      <w:pPr>
        <w:ind w:left="420"/>
      </w:pPr>
      <w:r>
        <w:t xml:space="preserve">2. nach Absatz 1 zur Anpassung von Verweisungen auf amtliche Bekanntmachungen im Verkehrsblatt, wenn diese Bekanntmachungen auf Grund technischer Entwicklungen zu ändern, zu ergänzen oder aufzuheben waren, oder</w:t>
      </w:r>
    </w:p>
    <w:p>
      <w:pPr>
        <w:ind w:left="420"/>
      </w:pPr>
      <w:r>
        <w:t xml:space="preserve">3. über allgemeine Ausnahmen nach Absatz 1 Satz 1 Nummer 18, auch in Verbindung mit den Absätzen 3 bis 6.</w:t>
      </w:r>
    </w:p>
    <w:p>
      <w:r>
        <w:t xml:space="preserve">Vor ihrem Erlass sind die zuständigen obersten Landesbehörden zu hören.</w:t>
      </w:r>
    </w:p>
    <w:p>
      <w:r>
        <w:t xml:space="preserve">(8) Das Bundesministerium für Verkehr wird ermächtigt, durch Rechtsverordnung ohne Zustimmung des Bundesrates, jedoch unbeschadet des Absatzes 6,</w:t>
      </w:r>
    </w:p>
    <w:p>
      <w:pPr>
        <w:ind w:left="420"/>
      </w:pPr>
      <w:r>
        <w:t xml:space="preserve">1. sofern Verordnungen nach diesem Gesetz geändert oder abgelöst werden, Verweisungen in Gesetzen und Rechtsverordnungen auf diese geänderten oder abgelösten Vorschriften durch Verweisungen auf die jeweils inhaltsgleichen neuen Vorschriften zu ersetzen,</w:t>
      </w:r>
    </w:p>
    <w:p>
      <w:pPr>
        <w:ind w:left="420"/>
      </w:pPr>
      <w:r>
        <w:t xml:space="preserve">2. in den auf Grund des Absatzes 1 oder 2, jeweils auch in Verbindung mit den Absätzen 3 bis 7 erlassenen Rechtsverordnungen enthaltene Verweisungen auf Vorschriften in Rechtsakten der Europäischen Gemeinschaft oder der Europäischen Union zu ändern, soweit es zur Anpassung an Änderungen jener Vorschriften erforderlich ist, oder</w:t>
      </w:r>
    </w:p>
    <w:p>
      <w:pPr>
        <w:ind w:left="420"/>
      </w:pPr>
      <w:r>
        <w:t xml:space="preserve">3. Vorschriften der auf Grund des Absatzes 1 oder 2, jeweils auch in Verbindung mit den Absätzen 3 bis 7 erlassenen Rechtsverordnungen zu streichen oder in ihrem Wortlaut einem verbleibenden Anwendungsbereich anzupassen, sofern diese Vorschriften durch den Erlass entsprechender Vorschriften in unmittelbar im Anwendungsbereich dieses Gesetzes geltenden Rechtsakten der Europäischen Gemeinschaft oder der Europäischen Union unanwendbar geworden oder in ihrem Anwendungsbereich beschränkt worden sind.</w:t>
      </w:r>
    </w:p>
    <w:p>
      <w:r>
        <w:t xml:space="preserve">(9) In den Rechtsverordnungen nach Absatz 1, jeweils auch in Verbindung mit den Absätzen 3 bis 6, kann mit Zustimmung des Bundesrates die jeweilige Ermächtigung ganz oder teilweise auf die Landesregierungen übertragen werden, um besonderen regionalen Bedürfnissen angemessen Rechnung zu tragen. Soweit eine nach Satz 1 erlassene Rechtsverordnung die Landesregierungen zum Erlass von Rechtsverordnungen ermächtigt, sind diese befugt, die Ermächtigung durch Rechtsverordnung ganz oder teilweise auf andere Landesbehörden zu übertragen.</w:t>
      </w:r>
    </w:p>
    <w:p>
      <w:r>
        <w:rPr>
          <w:color w:val="555555"/>
          <w:sz w:val="17"/>
        </w:rPr>
        <w:t xml:space="preserve">Zitiervorschlag: § 6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