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StVG — Übermittlung von Daten an Stellen außerhalb des Geltungsbereiches dieses Gesetzes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auf Grund des § 50 gespeicherten Daten dürfen von den Registerbehörden an die hierfür zuständigen Stellen anderer Staaten übermittelt werden, soweit dies</w:t>
      </w:r>
    </w:p>
    <w:p>
      <w:pPr>
        <w:ind w:left="420"/>
      </w:pPr>
      <w:r>
        <w:t xml:space="preserve">1. für Verwaltungsmaßnahmen auf dem Gebiet des Straßenverkehrs,</w:t>
      </w:r>
    </w:p>
    <w:p>
      <w:pPr>
        <w:ind w:left="420"/>
      </w:pPr>
      <w:r>
        <w:t xml:space="preserve">2. zur Verfolgung von Zuwiderhandlungen gegen Rechtsvorschriften auf dem Gebiet des Straßenverkehrs oder</w:t>
      </w:r>
    </w:p>
    <w:p>
      <w:pPr>
        <w:ind w:left="420"/>
      </w:pPr>
      <w:r>
        <w:t xml:space="preserve">3. zur Verfolgung von Straftaten, die im Zusammenhang mit dem Straßenverkehr oder sonst mit Kraftfahrzeugen oder Anhängern oder Fahrzeugpapieren, Fahrerlaubnissen oder Führerscheinen stehen,</w:t>
      </w:r>
    </w:p>
    <w:p>
      <w:r>
        <w:t xml:space="preserve">erforderlich ist.</w:t>
      </w:r>
    </w:p>
    <w:p>
      <w:r>
        <w:t xml:space="preserve">(2) Der Empfänger ist darauf hinzuweisen, dass die übermittelten Daten nur zu dem Zweck verarbeitet werden dürfen, zu dessen Erfüllung sie ihm übermittelt werden.</w:t>
      </w:r>
    </w:p>
    <w:p>
      <w:r>
        <w:t xml:space="preserve">(3) Die Übermittlung unterbleibt, wenn durch sie schutzwürdige Interessen der betroffenen Person beeinträchtigt würden, insbesondere wenn im Empfängerland ein angemessener Datenschutzstandard nicht gewährleistet ist.</w:t>
      </w:r>
    </w:p>
    <w:p>
      <w:r>
        <w:rPr>
          <w:color w:val="555555"/>
          <w:sz w:val="17"/>
        </w:rPr>
        <w:t xml:space="preserve">Zitiervorschlag: § 55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