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52 StVG — Übermittlung</w:t>
      </w:r>
    </w:p>
    <w:p>
      <w:r>
        <w:rPr>
          <w:color w:val="555555"/>
          <w:sz w:val="18"/>
        </w:rPr>
        <w:t xml:space="preserve">Straßenverkehrsgesetz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in den Fahrerlaubnisregistern gespeicherten Daten dürfen an die Stellen, die</w:t>
      </w:r>
    </w:p>
    <w:p>
      <w:pPr>
        <w:ind w:left="420"/>
      </w:pPr>
      <w:r>
        <w:t xml:space="preserve">1. für die Verfolgung von Straftaten, zur Vollstreckung oder zum Vollzug von Strafen,</w:t>
      </w:r>
    </w:p>
    <w:p>
      <w:pPr>
        <w:ind w:left="420"/>
      </w:pPr>
      <w:r>
        <w:t xml:space="preserve">2. für die Verfolgung von Ordnungswidrigkeiten und die Vollstreckung von Bußgeldbescheiden und ihren Nebenfolgen nach diesem Gesetz oder</w:t>
      </w:r>
    </w:p>
    <w:p>
      <w:pPr>
        <w:ind w:left="420"/>
      </w:pPr>
      <w:r>
        <w:t xml:space="preserve">3. für Verwaltungsmaßnahmen auf Grund dieses Gesetzes oder der auf ihm beruhenden Rechtsvorschriften, soweit es um Fahrerlaubnisse, Führerscheine oder sonstige Berechtigungen, ein Fahrzeug zu führen, geht,</w:t>
      </w:r>
    </w:p>
    <w:p>
      <w:r>
        <w:t xml:space="preserve">zuständig sind, übermittelt werden, soweit dies zur Erfüllung der diesen Stellen obliegenden Aufgaben zu den in § 49 genannten Zwecken jeweils erforderlich ist.</w:t>
      </w:r>
    </w:p>
    <w:p>
      <w:r>
        <w:t xml:space="preserve">(2) Die in den Fahrerlaubnisregistern gespeicherten Daten dürfen zu den in § 49 Abs. 1 und 2 Nr. 2 genannten Zwecken an die für Verkehrs- und Grenzkontrollen zuständigen Stellen sowie an die für Straßenkontrollen zuständigen Stellen übermittelt werden, soweit dies zur Erfüllung ihrer Aufgaben erforderlich ist.</w:t>
      </w:r>
    </w:p>
    <w:p>
      <w:r>
        <w:t xml:space="preserve">(3) Das Kraftfahrt-Bundesamt hat entsprechend § 35 Abs. 6 Satz 1 und 2 Aufzeichnungen über die Übermittlungen nach den Absätzen 1 und 2 zu führen.</w:t>
      </w:r>
    </w:p>
    <w:p>
      <w:r>
        <w:rPr>
          <w:color w:val="555555"/>
          <w:sz w:val="17"/>
        </w:rPr>
        <w:t xml:space="preserve">Zitiervorschlag: § 52 StVG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https://recht.nulegal.eu/gesetze/StVG/52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