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StVG — Registerführung und Registerbehörden</w:t>
      </w:r>
    </w:p>
    <w:p>
      <w:r>
        <w:rPr>
          <w:color w:val="555555"/>
          <w:sz w:val="18"/>
        </w:rPr>
        <w:t xml:space="preserve">Straßenverkehrsgesetz</w:t>
      </w:r>
    </w:p>
    <w:p>
      <w:r>
        <w:rPr>
          <w:color w:val="555555"/>
          <w:sz w:val="18"/>
        </w:rPr>
        <w:t xml:space="preserve">Stand: 10.06.2019 (konsolidierte Textfassung, kein amtliches Inkrafttretensdatum)</w:t>
      </w:r>
    </w:p>
    <w:p>
      <w:r>
        <w:t xml:space="preserve">(1) Die Fahrerlaubnisbehörden (§ 2 Abs. 1) führen im Rahmen ihrer örtlichen Zuständigkeit ein Register (örtliche Fahrerlaubnisregister) über</w:t>
      </w:r>
    </w:p>
    <w:p>
      <w:pPr>
        <w:ind w:left="420"/>
      </w:pPr>
      <w:r>
        <w:t xml:space="preserve">1. von ihnen erteilte Fahrerlaubnisse sowie die entsprechenden Führerscheine,</w:t>
      </w:r>
    </w:p>
    <w:p>
      <w:pPr>
        <w:ind w:left="420"/>
      </w:pPr>
      <w:r>
        <w:t xml:space="preserve">2. Entscheidungen, die Bestand, Art und Umfang von Fahrerlaubnissen oder sonstige Berechtigungen, ein Fahrzeug zu führen, betreffen.</w:t>
      </w:r>
    </w:p>
    <w:p>
      <w:r>
        <w:t xml:space="preserve">Abweichend von Satz 1 Nr. 2 darf die zur Erteilung einer Prüfbescheinigung zuständige Stelle Aufzeichnungen über von ihr ausgegebene Bescheinigungen für die Berechtigung zum Führen fahrerlaubnisfreier Fahrzeug führen. Sobald ein örtliches Fahrerlaubnisregister nach Maßgabe des § 65 Absatz 2 Satz 1 nicht mehr geführt werden darf, gilt Satz 1 in Verbindung mit Satz 2 nur noch für die in § 65 Absatz 2a bezeichneten Daten.</w:t>
      </w:r>
    </w:p>
    <w:p>
      <w:r>
        <w:t xml:space="preserve">(2) Das Kraftfahrt-Bundesamt führt ein Register über Fahrerlaubnisse und die entsprechenden Führerscheine (Zentrales Fahrerlaubnisregister), die von den nach Landesrecht für den Vollzug des Fahrerlaubnisrechtes zuständigen Behörden (Fahrerlaubnisbehörden) erteilt sind.</w:t>
      </w:r>
    </w:p>
    <w:p>
      <w:r>
        <w:t xml:space="preserve">(3) Bei einer zentralen Herstellung der Führscheine übermittelt die Fahrerlaubnisbehörde dem Hersteller die hierfür notwendigen Daten. Der Hersteller darf ausschließlich zum Nachweis des Verbleibs der Führerscheine alle Führerscheinnummern der hergestellten Führerscheine speichern. Die Speicherung der übrigen im Führerschein enthaltenen Angaben beim Hersteller ist unzulässig, soweit sie nicht ausschließlich und vorübergehend der Herstellung des Führerscheins dient; die Angaben sind anschließend zu löschen. Die Daten nach den Sätzen 1 und 2 dürfen nach näherer Bestimmung durch Rechtsverordnung gemäß § 63 Nummer 1 an das Kraftfahrt-Bundesamt zur Speicherung im Zentralen Fahrerlaubnisregister übermittelt werden; sie sind dort spätestens nach Ablauf von zwölf Monaten zu löschen, sofern dem Amt die Erteilung oder Änderung der Fahrerlaubnis innerhalb dieser Frist nicht mitgeteilt wird; beim Hersteller sind die Daten nach der Übermittlung zu löschen. Vor Eingang der Mitteilung beim Kraftfahrt-Bundesamt über die Erteilung oder Änderung der Fahrerlaubnis darf das Amt über die Daten keine Auskunft erteilen.</w:t>
      </w:r>
    </w:p>
    <w:p>
      <w:r>
        <w:rPr>
          <w:color w:val="555555"/>
          <w:sz w:val="17"/>
        </w:rPr>
        <w:t xml:space="preserve">Zitiervorschlag: § 48 StVG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https://recht.nulegal.eu/gesetze/StVG/48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