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StVG — Löschung der Daten in den Fahrzeugregistern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nach § 33 Abs. 1 und 2 gespeicherten Daten sind in den Fahrzeugregistern spätestens zu löschen, wenn sie für die Aufgaben nach § 32 nicht mehr benötigt werden.</w:t>
      </w:r>
    </w:p>
    <w:p>
      <w:r>
        <w:t xml:space="preserve">(2) Die Daten über Fahrtenbuchauflagen (§ 33 Abs. 3) sind nach Wegfall der Auflage zu löschen.</w:t>
      </w:r>
    </w:p>
    <w:p>
      <w:r>
        <w:rPr>
          <w:color w:val="555555"/>
          <w:sz w:val="17"/>
        </w:rPr>
        <w:t xml:space="preserve">Zitiervorschlag: § 44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