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37c StVG — Übermittlung von Fahrzeugdaten und Halterdaten an die Europäische Kommission</w:t>
      </w:r>
    </w:p>
    <w:p>
      <w:r>
        <w:rPr>
          <w:color w:val="555555"/>
          <w:sz w:val="18"/>
        </w:rPr>
        <w:t xml:space="preserve">Straßenverkehrsgesetz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Kraftfahrt-Bundesamt übermittelt zur Erfüllung der Berichtspflicht nach Artikel 5 Absatz 1 Unterabsatz 4 der Richtlinie 2009/103/EG des Europäischen Parlaments und des Rates vom 16. September 2009 über die Kraftfahrzeug-Haftpflichtversicherung und die Kontrolle der entsprechenden Versicherungspflicht (ABl. L 263 vom 7.10.2009, S. 11) bis zum 31. März eines jeden Jahres an die Europäische Kommission die nach § 33 Absatz 1 gespeicherten Namen oder Bezeichnungen und Anschriften der Fahrzeughalter, die nach § 2 Absatz 1 Nummer 1 bis 5 des Pflichtversicherungsgesetzes von der Versicherungspflicht befreit sind.</w:t>
      </w:r>
    </w:p>
    <w:p>
      <w:r>
        <w:rPr>
          <w:color w:val="555555"/>
          <w:sz w:val="17"/>
        </w:rPr>
        <w:t xml:space="preserve">Zitiervorschlag: § 37c StVG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https://recht.nulegal.eu/gesetze/StVG/37c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