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StVG — Übermittlung von Fahrzeugdaten und Halterdaten an Stellen außerhalb des Geltungsbereiches dieses Gesetzes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nach § 33 Absatz 1 gespeicherten Fahrzeugdaten und Halterdaten dürfen vom Kraftfahrt-Bundesamt an die zuständigen Stellen anderer Staaten oder an Europol übermittelt werden, soweit dies nach unionsrechtlichen Vorschriften vorgeschrieben ist oder soweit dies</w:t>
      </w:r>
    </w:p>
    <w:p>
      <w:pPr>
        <w:ind w:left="420"/>
      </w:pPr>
      <w:r>
        <w:t xml:space="preserve">1. für Verwaltungsmaßnahmen auf dem Gebiet des Straßenverkehrs,</w:t>
      </w:r>
    </w:p>
    <w:p>
      <w:pPr>
        <w:ind w:left="420"/>
      </w:pPr>
      <w:r>
        <w:t xml:space="preserve">2. zur Überwachung des Versicherungsschutzes im Rahmen der Kraftfahrzeughaftpflichtversicherung,</w:t>
      </w:r>
    </w:p>
    <w:p>
      <w:pPr>
        <w:ind w:left="420"/>
      </w:pPr>
      <w:r>
        <w:t xml:space="preserve">3. zur Verfolgung von Zuwiderhandlungen gegen Rechtsvorschriften auf dem Gebiet des Straßenverkehrs oder</w:t>
      </w:r>
    </w:p>
    <w:p>
      <w:pPr>
        <w:ind w:left="420"/>
      </w:pPr>
      <w:r>
        <w:t xml:space="preserve">4. zur Verfolgung von Straftaten, die im Zusammenhang mit dem Straßenverkehr oder sonst mit Kraftfahrzeugen, Anhängern, Kennzeichen oder Fahrzeugpapieren, Fahrerlaubnissen oder Führerscheinen stehen,</w:t>
      </w:r>
    </w:p>
    <w:p>
      <w:r>
        <w:t xml:space="preserve">erforderlich ist und keine Anhaltspunkte für Zweifel an der Gegenseitigkeit einer solchen Auskunftserteilung hinsichtlich des jeweiligen Anfragegrundes nach den Nummern 1 bis 4 und hinsichtlich der den Anfragegrund begründenden Sachverhalte durch den anderen Staat gegeben sind.</w:t>
      </w:r>
    </w:p>
    <w:p>
      <w:r>
        <w:t xml:space="preserve">(1a) Nach Maßgabe völkerrechtlicher Verträge zwischen Mitgliedstaaten der Europäischen Union oder mit den anderen Vertragsstaaten des Abkommens über den Europäischen Wirtschaftsraum, die der Mitwirkung der gesetzgebenden Körperschaften nach Artikel 59 Absatz 2 des Grundgesetzes bedürfen, sowie nach Artikel 12 des Beschlusses des Rates 2008/615/JI vom 23. Juni 2008 (ABl. L 210 vom 6.8.2008, S. 1) dürfen die nach § 33 Absatz 1 gespeicherten Fahrzeugdaten und Halterdaten vom Kraftfahrt-Bundesamt an die zuständigen Stellen dieser Staaten auch übermittelt werden, soweit dies erforderlich ist</w:t>
      </w:r>
    </w:p>
    <w:p>
      <w:pPr>
        <w:ind w:left="420"/>
      </w:pPr>
      <w:r>
        <w:t xml:space="preserve">1. zur Verfolgung von Ordnungswidrigkeiten, die nicht von Absatz 1 Nummer 3 erfasst werden,</w:t>
      </w:r>
    </w:p>
    <w:p>
      <w:pPr>
        <w:ind w:left="420"/>
      </w:pPr>
      <w:r>
        <w:t xml:space="preserve">2. zur Verfolgung von Straftaten, die nicht von Absatz 1 Nummer 4 erfasst werden, oder</w:t>
      </w:r>
    </w:p>
    <w:p>
      <w:pPr>
        <w:ind w:left="420"/>
      </w:pPr>
      <w:r>
        <w:t xml:space="preserve">3. zur Abwehr von Gefahren für die öffentliche Sicherheit.</w:t>
      </w:r>
    </w:p>
    <w:p>
      <w:r>
        <w:t xml:space="preserve">(2) Der Empfänger ist darauf hinzuweisen, dass die übermittelten Daten nur zu dem Zweck verwendet werden dürfen, zu dessen Erfüllung sie ihm übermittelt werden.</w:t>
      </w:r>
    </w:p>
    <w:p>
      <w:r>
        <w:t xml:space="preserve">(3) Die Übermittlung unterbleibt, wenn durch sie schutzwürdige Interessen der betroffenen Person beeinträchtigt würden, insbesondere, wenn im Empfängerland ein angemessener Datenschutzstandard nicht gewährleistet ist.</w:t>
      </w:r>
    </w:p>
    <w:p>
      <w:r>
        <w:t xml:space="preserve">(4) Die Übermittlung unterbleibt, wenn die Übermittlung bei entsprechender Anfrage auf Grund von § 37a erfolgen könnte. Die Übermittlung kann ferner unterbleiben, wenn das Kraftfahrt-Bundesamt den Aufwand für die Bearbeitung der Anfragen als nicht vertretbar beurteilt.</w:t>
      </w:r>
    </w:p>
    <w:p>
      <w:r>
        <w:rPr>
          <w:color w:val="555555"/>
          <w:sz w:val="17"/>
        </w:rPr>
        <w:t xml:space="preserve">Zitiervorschlag: § 37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