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StVG — Übermittlung von Fahrzeugdaten und Halterdaten</w:t>
      </w:r>
    </w:p>
    <w:p>
      <w:r>
        <w:rPr>
          <w:color w:val="555555"/>
          <w:sz w:val="18"/>
        </w:rPr>
        <w:t xml:space="preserve">Straßenverkehrsgesetz</w:t>
      </w:r>
    </w:p>
    <w:p>
      <w:r>
        <w:rPr>
          <w:color w:val="555555"/>
          <w:sz w:val="18"/>
        </w:rPr>
        <w:t xml:space="preserve">Stand: 01.07.2026 (konsolidierte Textfassung, kein amtliches Inkrafttretensdatum)</w:t>
      </w:r>
    </w:p>
    <w:p>
      <w:r>
        <w:t xml:space="preserve">(1) Die nach § 33 Absatz 1 gespeicherten Fahrzeugdaten und Halterdaten dürfen an Behörden und sonstige öffentliche Stellen im Geltungsbereich dieses Gesetzes sowie im Rahmen einer internetbasierten Zulassung an Personen im Sinne des § 6g Absatz 3 zur Erfüllung der Aufgaben der Zulassungsbehörde, des Kraftfahrt-Bundesamtes oder der Aufgaben des Empfängers nur übermittelt werden, wenn dies für die Zwecke nach § 32 Absatz 2 jeweils erforderlich ist</w:t>
      </w:r>
    </w:p>
    <w:p>
      <w:pPr>
        <w:ind w:left="420"/>
      </w:pPr>
      <w:r>
        <w:t xml:space="preserve">1. zur Durchführung der in § 32 Abs. 1 angeführten Aufgaben,</w:t>
      </w:r>
    </w:p>
    <w:p>
      <w:pPr>
        <w:ind w:left="420"/>
      </w:pPr>
      <w:r>
        <w:t xml:space="preserve">2. zur Verfolgung von Straftaten, zur Vollstreckung oder zum Vollzug von Strafen, von Maßnahmen im Sinne des § 11 Abs. 1 Nr. 8 des Strafgesetzbuchs oder von Erziehungsmaßregeln oder Zuchtmitteln im Sinne des Jugendgerichtsgesetzes,</w:t>
      </w:r>
    </w:p>
    <w:p>
      <w:pPr>
        <w:ind w:left="420"/>
      </w:pPr>
      <w:r>
        <w:t xml:space="preserve">3. zur Verfolgung von Ordnungswidrigkeiten,</w:t>
      </w:r>
    </w:p>
    <w:p>
      <w:pPr>
        <w:ind w:left="420"/>
      </w:pPr>
      <w:r>
        <w:t xml:space="preserve">4. zur Abwehr von Gefahren für die öffentliche Sicherheit oder Ordnung,</w:t>
      </w:r>
    </w:p>
    <w:p>
      <w:pPr>
        <w:ind w:left="420"/>
      </w:pPr>
      <w:r>
        <w:t xml:space="preserve">5. zur Erfüllung der den Verfassungsschutzbehörden, dem Militärischen Abschirmdienst und dem Bundesnachrichtendienst durch Gesetz übertragenen Aufgaben,</w:t>
      </w:r>
    </w:p>
    <w:p>
      <w:pPr>
        <w:ind w:left="420"/>
      </w:pPr>
      <w:r>
        <w:t xml:space="preserve">6. für Maßnahmen nach dem Abfallbeseitigungsgesetz oder den darauf beruhenden Rechtsvorschriften,</w:t>
      </w:r>
    </w:p>
    <w:p>
      <w:pPr>
        <w:ind w:left="420"/>
      </w:pPr>
      <w:r>
        <w:t xml:space="preserve">7. für Maßnahmen nach dem Wirtschaftssicherstellungsgesetz oder den darauf beruhenden Rechtsvorschriften,</w:t>
      </w:r>
    </w:p>
    <w:p>
      <w:pPr>
        <w:ind w:left="420"/>
      </w:pPr>
      <w:r>
        <w:t xml:space="preserve">8. für Maßnahmen nach dem Energiesicherungsgesetz 1975 oder den darauf beruhenden Rechtsvorschriften,</w:t>
      </w:r>
    </w:p>
    <w:p>
      <w:pPr>
        <w:ind w:left="420"/>
      </w:pPr>
      <w:r>
        <w:t xml:space="preserve">9. für die Erfüllung der gesetzlichen Mitteilungspflichten zur Sicherung des Steueraufkommens nach § 93 der Abgabenordnung,</w:t>
      </w:r>
    </w:p>
    <w:p>
      <w:pPr>
        <w:ind w:left="420"/>
      </w:pPr>
      <w:r>
        <w:t xml:space="preserve">10. zur Feststellung der Maut für die Benutzung mautpflichtiger Straßen im Sinne des § 1 des Bundesfernstraßenmautgesetzes und zur Verfolgung von Ansprüchen nach diesem Gesetz,</w:t>
      </w:r>
    </w:p>
    <w:p>
      <w:pPr>
        <w:ind w:left="420"/>
      </w:pPr>
      <w:r>
        <w:t xml:space="preserve">11. zur Ermittlung der Mautgebühr für die Benutzung von Bundesfernstraßen und zur Verfolgung von Ansprüchen nach dem Fernstraßenbauprivatfinanzierungsgesetz vom 30. August 1994 (BGBl. I S. 2243) in der jeweils geltenden Fassung,</w:t>
      </w:r>
    </w:p>
    <w:p>
      <w:pPr>
        <w:ind w:left="420"/>
      </w:pPr>
      <w:r>
        <w:t xml:space="preserve">12. zur Ermittlung der Mautgebühr für die Benutzung von Straßen nach Landesrecht und zur Verfolgung von Ansprüchen nach den Gesetzen der Länder über den gebührenfinanzierten Neu- und Ausbau von Straßen,</w:t>
      </w:r>
    </w:p>
    <w:p>
      <w:pPr>
        <w:ind w:left="420"/>
      </w:pPr>
      <w:r>
        <w:t xml:space="preserve">13. zur Überprüfung von Personen, die Sozialhilfe, Leistungen der Grundsicherung für Arbeitsuchende oder Leistungen nach dem Asylbewerberleistungsgesetz beziehen, zur Vermeidung rechtswidriger Inanspruchnahme solcher Leistungen,</w:t>
      </w:r>
    </w:p>
    <w:p>
      <w:pPr>
        <w:ind w:left="420"/>
      </w:pPr>
      <w:r>
        <w:t xml:space="preserve">14. für die in § 17 des Auslandsunterhaltsgesetzes genannten Zwecke,</w:t>
      </w:r>
    </w:p>
    <w:p>
      <w:pPr>
        <w:ind w:left="420"/>
      </w:pPr>
      <w:r>
        <w:t xml:space="preserve">15. für die in § 802l der Zivilprozessordnung genannten Zwecke soweit kein Grund zu der Annahme besteht, dass dadurch schutzwürdige Interessen des Betroffenen beeinträchtigt werden,</w:t>
      </w:r>
    </w:p>
    <w:p>
      <w:pPr>
        <w:ind w:left="420"/>
      </w:pPr>
      <w:r>
        <w:t xml:space="preserve">16. zur Erfüllung der den Behörden der Zollverwaltung in § 2 Absatz 1 des Schwarzarbeitsbekämpfungsgesetzes übertragenen Prüfungsaufgaben,</w:t>
      </w:r>
    </w:p>
    <w:p>
      <w:pPr>
        <w:ind w:left="420"/>
      </w:pPr>
      <w:r>
        <w:t xml:space="preserve">17. zur Durchführung eines Vollstreckungsverfahrens an die für die Vollstreckung nach dem Verwaltungs-Vollstreckungsgesetz oder nach den Verwaltungsvollstreckungsgesetzen der Länder zuständige Behörde, wenn der Vollstreckungsschuldner als Halter des Fahrzeugs eingetragen ist, kein Grund zu der Annahme besteht, dass dadurch schutzwürdige Interessen des Betroffenen beeinträchtigt werden, und</w:t>
      </w:r>
    </w:p>
    <w:p>
      <w:pPr>
        <w:ind w:left="780"/>
      </w:pPr>
      <w:r>
        <w:t xml:space="preserve">a) die Ladung zu dem Termin zur Abgabe der Vermögensauskunft an den Vollstreckungsschuldner nicht zustellbar ist und</w:t>
      </w:r>
    </w:p>
    <w:p>
      <w:pPr>
        <w:ind w:left="1140"/>
      </w:pPr>
      <w:r>
        <w:t xml:space="preserve">aa) die Anschrift, unter der die Zustellung ausgeführt werden sollte, mit der Anschrift übereinstimmt, die von einer der in § 755 Absatz 1 und 2 der Zivilprozessordnung genannten Stellen innerhalb von drei Monaten vor oder nach dem Zustellungsversuch mitgeteilt wurde, oder</w:t>
      </w:r>
    </w:p>
    <w:p>
      <w:pPr>
        <w:ind w:left="1140"/>
      </w:pPr>
      <w:r>
        <w:t xml:space="preserve">bb) die Meldebehörde nach dem Zustellungsversuch die Auskunft erteilt, dass ihr keine derzeitige Anschrift des Vollstreckungsschuldners bekannt ist, oder</w:t>
      </w:r>
    </w:p>
    <w:p>
      <w:pPr>
        <w:ind w:left="1140"/>
      </w:pPr>
      <w:r>
        <w:t xml:space="preserve">cc) die Meldebehörde innerhalb von drei Monaten vor Erlass der Vollstreckungsanordnung die Auskunft erteilt hat, dass ihr keine derzeitige Anschrift des Vollstreckungsschuldners bekannt ist;</w:t>
      </w:r>
    </w:p>
    <w:p>
      <w:pPr>
        <w:ind w:left="780"/>
      </w:pPr>
      <w:r>
        <w:t xml:space="preserve">b) der Vollstreckungsschuldner seiner Pflicht zur Abgabe der Vermögensauskunft in dem dem Ersuchen zugrundeliegenden Vollstreckungsverfahren nicht nachkommt oder</w:t>
      </w:r>
    </w:p>
    <w:p>
      <w:pPr>
        <w:ind w:left="780"/>
      </w:pPr>
      <w:r>
        <w:t xml:space="preserve">c) bei einer Vollstreckung in die in der Vermögensauskunft aufgeführten Vermögensgegenstände eine vollständige Befriedigung der Forderung nicht zu erwarten ist,</w:t>
      </w:r>
    </w:p>
    <w:p>
      <w:pPr>
        <w:ind w:left="420"/>
      </w:pPr>
      <w:r>
        <w:t xml:space="preserve">18. zur Überprüfung der Einhaltung von Verkehrsbeschränkungen und Verkehrsverboten, die aufgrund des § 40 des Bundes-Immissionsschutzgesetzes nach Maßgabe der straßenverkehrsrechtlichen Vorschriften angeordnet worden oder aufgrund straßenverkehrsrechtlicher Vorschriften zum Schutz der Wohnbevölkerung oder der Bevölkerung vor Abgasen ergangen sind,</w:t>
      </w:r>
    </w:p>
    <w:p>
      <w:pPr>
        <w:ind w:left="420"/>
      </w:pPr>
      <w:r>
        <w:t xml:space="preserve">19. zur Überprüfung und Ergänzung der Angaben in Anträgen und Verwendungsnachweisen zu einer Förderung hinsichtlich der Einhaltung der Regelungen über die Förderung des Absatzes von elektrisch betriebenen Fahrzeugen,</w:t>
      </w:r>
    </w:p>
    <w:p>
      <w:pPr>
        <w:ind w:left="420"/>
      </w:pPr>
      <w:r>
        <w:t xml:space="preserve">20. für die in § 98 Absatz 1a Satz 1 der Insolvenzordnung genannten Zwecke, soweit kein Grund zu der Annahme besteht, dass dadurch schutzwürdige Interessen des Betroffenen beeinträchtigt werden,</w:t>
      </w:r>
    </w:p>
    <w:p>
      <w:pPr>
        <w:ind w:left="420"/>
      </w:pPr>
      <w:r>
        <w:t xml:space="preserve">21. für Maßnahmen nach dem Außenwirtschaftsgesetz, dem Sanktionsdurchsetzungsgesetz oder den jeweils auf den genannten Gesetzen beruhenden Rechtsvorschriften,</w:t>
      </w:r>
    </w:p>
    <w:p>
      <w:pPr>
        <w:ind w:left="420"/>
      </w:pPr>
      <w:r>
        <w:t xml:space="preserve">22. für die Erteilung von Parkberechtigungen in Gebieten nach § 6 Absatz 1 Satz 1 Nummer 15 Buchstabe b,</w:t>
      </w:r>
    </w:p>
    <w:p>
      <w:pPr>
        <w:ind w:left="420"/>
      </w:pPr>
      <w:r>
        <w:t xml:space="preserve">23. zur Überprüfung der vom Betreiber eines Ladepunktes oder von einer von ihm bestimmten Person dem Umweltbundesamt mitgeteilten energetischen Menge des elektrischen Stroms, der zur Verwendung in Kraftfahrzeugen entnommen wurde und auf die Erfüllung der Verpflichtung zur Minderung der Treibhausgasemissionen angerechnet werden kann, und zur Ausstellung der Bescheinigung über diese Menge nach § 8 Absatz 2 der Verordnung zur Festlegung weiterer Bestimmungen zur Treibhausgasminderung bei Kraftstoffen vom 8. Dezember 2017 (BGBl. I S. 3892), die zuletzt durch Artikel 1 der Verordnung vom 25. November 2024 (BGBl. 2024 I Nr. 367) geändert worden ist, oder</w:t>
      </w:r>
    </w:p>
    <w:p>
      <w:pPr>
        <w:ind w:left="420"/>
      </w:pPr>
      <w:r>
        <w:t xml:space="preserve">24. zur Untersuchung von Straßenverkehrsunfällen nach § 63f.</w:t>
      </w:r>
    </w:p>
    <w:p>
      <w:r>
        <w:t xml:space="preserve">(1a) Die nach § 33 Absatz 1 Nummer 1 gespeicherten Daten über Beschaffenheit, Ausrüstung und Identifizierungsmerkmale von Fahrzeugen dürfen den Zentralen Leitstellen für Brandschutz, Katastrophenschutz und Rettungsdienst, wenn dies für Zwecke nach § 32 Absatz 2 Nummer 3 erforderlich ist, zur Rettung von Unfallopfern übermittelt werden.</w:t>
      </w:r>
    </w:p>
    <w:p>
      <w:r>
        <w:t xml:space="preserve">(2) Die nach § 33 Absatz 1 gespeicherten Fahrzeugdaten und Halterdaten dürfen, soweit dies jeweils erforderlich ist, übermittelt werden</w:t>
      </w:r>
    </w:p>
    <w:p>
      <w:pPr>
        <w:ind w:left="420"/>
      </w:pPr>
      <w:r>
        <w:t xml:space="preserve">1. für die Zwecke des § 32 Absatz 1 Nummer 1 oder 9 an Inhaber von Betriebserlaubnissen für Fahrzeuge, an Fahrzeughersteller oder an verantwortliche Teilehersteller, Werkstätten oder sonstige Produktverantwortliche, um Folgendes zu ermöglichen oder zu unterstützen:</w:t>
      </w:r>
    </w:p>
    <w:p>
      <w:pPr>
        <w:ind w:left="780"/>
      </w:pPr>
      <w:r>
        <w:t xml:space="preserve">a) fahrzeugbezogene Maßnahmen einschließlich Rückrufe zur Beseitigung von sicherheitsgefährdenden Mängeln an bereits ausgelieferten Fahrzeugen,</w:t>
      </w:r>
    </w:p>
    <w:p>
      <w:pPr>
        <w:ind w:left="780"/>
      </w:pPr>
      <w:r>
        <w:t xml:space="preserve">b) fahrzeugbezogene Maßnahmen einschließlich Rückrufe zur Beseitigung von für die Umwelt erheblichen Mängeln an bereits ausgelieferten Fahrzeugen,</w:t>
      </w:r>
    </w:p>
    <w:p>
      <w:pPr>
        <w:ind w:left="780"/>
      </w:pPr>
      <w:r>
        <w:t xml:space="preserve">c) fahrzeugbezogene Maßnahmen einschließlich Rückrufe, die die Typgenehmigungsbehörde oder die Marktüberwachungsbehörde zur Beseitigung von sonstigen Unvorschriftsmäßigkeiten an bereits ausgelieferten Fahrzeugen für erforderlich erachtet,</w:t>
      </w:r>
    </w:p>
    <w:p>
      <w:pPr>
        <w:ind w:left="780"/>
      </w:pPr>
      <w:r>
        <w:t xml:space="preserve">d) die Erfüllung unionsrechtlicher Meldepflichten,</w:t>
      </w:r>
    </w:p>
    <w:p>
      <w:pPr>
        <w:ind w:left="420"/>
      </w:pPr>
      <w:r>
        <w:t xml:space="preserve">2. für die Zwecke des § 32 Absatz 1 Nummer 6 an Fahrzeughersteller und Importeure von Fahrzeugen sowie an deren Rechtsnachfolger zur Überprüfung der Angaben über die Verwertung des Fahrzeugs nach dem Altfahrzeugrecht,</w:t>
      </w:r>
    </w:p>
    <w:p>
      <w:pPr>
        <w:ind w:left="420"/>
      </w:pPr>
      <w:r>
        <w:t xml:space="preserve">3. für die Zwecke des § 32 Absatz 1 Nummer 2 an Versicherer zur Gewährleistung des vorgeschriebenen Versicherungsschutzes oder</w:t>
      </w:r>
    </w:p>
    <w:p>
      <w:pPr>
        <w:ind w:left="420"/>
      </w:pPr>
      <w:r>
        <w:t xml:space="preserve">4. für die Zwecke des § 32 Absatz 1 Nummer 1 unmittelbar oder über Kopfstellen an Technische Prüfstellen und amtlich anerkannte Überwachungsorganisationen sowie über Kopfstellen an anerkannte Kraftfahrzeugwerkstätten, soweit diese Werkstätten Sicherheitsprüfungen durchführen, für die Durchführung der regelmäßigen Untersuchungen und Prüfungen, um die Verkehrssicherheit der Fahrzeuge und den Schutz der Verkehrsteilnehmer zu gewährleisten; § 34 Absatz 6 Satz 3 und 4 gilt entsprechend.</w:t>
      </w:r>
    </w:p>
    <w:p>
      <w:r>
        <w:t xml:space="preserve">Bei Übermittlungen nach Satz 1 Nummer 4 erfolgt eine Speicherung der Daten bei den Kopfstellen ausschließlich zum Zweck der Übermittlung an Technische Prüfstellen, amtlich anerkannte Überwachungsorganisationen und anerkannte Kraftfahrzeugwerkstätten, soweit diese Werkstätten Sicherheitsprüfungen durchführen. Nach erfolgter Übermittlung haben die Kopfstellen die nach Satz 2 gespeicherten Daten unverzüglich, bei elektronischer Speicherung automatisiert, zu löschen.</w:t>
      </w:r>
    </w:p>
    <w:p>
      <w:r>
        <w:t xml:space="preserve">(2a) Die nach § 33 Absatz 3 gespeicherten Daten über die Fahrtenbuchauflagen dürfen</w:t>
      </w:r>
    </w:p>
    <w:p>
      <w:pPr>
        <w:ind w:left="420"/>
      </w:pPr>
      <w:r>
        <w:t xml:space="preserve">1. den Zulassungsbehörden in entsprechender Anwendung des Absatzes 5 Nummer 1 zur Überwachung der Fahrtenbuchauflage,</w:t>
      </w:r>
    </w:p>
    <w:p>
      <w:pPr>
        <w:ind w:left="420"/>
      </w:pPr>
      <w:r>
        <w:t xml:space="preserve">2. dem Kraftfahrt-Bundesamt in entsprechender Anwendung des Absatzes 5 Nummer 1 für die Unterstützung der Zulassungsbehörden im Rahmen der Überwachung der Fahrtenbuchauflage oder</w:t>
      </w:r>
    </w:p>
    <w:p>
      <w:pPr>
        <w:ind w:left="420"/>
      </w:pPr>
      <w:r>
        <w:t xml:space="preserve">3. den hierfür zuständigen Behörden oder Gerichten zur Verfolgung von Straftaten oder von Ordnungswidrigkeiten nach § 24 Absatz 1, § 24a oder § 24c</w:t>
      </w:r>
    </w:p>
    <w:p>
      <w:r>
        <w:t xml:space="preserve">jeweils im Einzelfall übermittelt werden.</w:t>
      </w:r>
    </w:p>
    <w:p>
      <w:r>
        <w:t xml:space="preserve">(3) Die Übermittlung von Fahrzeugdaten und Halterdaten zu anderen Zwecken als der Feststellung oder Bestimmung von Haltern oder Fahrzeugen (§ 32 Abs. 2) ist, unbeschadet der Absätze 4, 4a bis 4c unzulässig, es sei denn, die Daten sind</w:t>
      </w:r>
    </w:p>
    <w:p>
      <w:pPr>
        <w:ind w:left="420"/>
      </w:pPr>
      <w:r>
        <w:t xml:space="preserve">1. unerlässlich zur</w:t>
      </w:r>
    </w:p>
    <w:p>
      <w:pPr>
        <w:ind w:left="780"/>
      </w:pPr>
      <w:r>
        <w:t xml:space="preserve">a) Verfolgung von Straftaten oder zur Vollstreckung oder zum Vollzug von Strafen,</w:t>
      </w:r>
    </w:p>
    <w:p>
      <w:pPr>
        <w:ind w:left="780"/>
      </w:pPr>
      <w:r>
        <w:t xml:space="preserve">b) Abwehr einer im Einzelfall bestehenden Gefahr für die öffentliche Sicherheit,</w:t>
      </w:r>
    </w:p>
    <w:p>
      <w:pPr>
        <w:ind w:left="780"/>
      </w:pPr>
      <w:r>
        <w:t xml:space="preserve">c) Erfüllung der den Verfassungsschutzbehörden, dem Militärischen Abschirmdienst und dem Bundesnachrichtendienst durch Gesetz übertragenen Aufgaben,</w:t>
      </w:r>
    </w:p>
    <w:p>
      <w:pPr>
        <w:ind w:left="780"/>
      </w:pPr>
      <w:r>
        <w:t xml:space="preserve">d) Erfüllung der gesetzlichen Mitteilungspflichten zur Sicherung des Steueraufkommens nach § 93 der Abgabenordnung, soweit diese Vorschrift unmittelbar anwendbar ist, oder</w:t>
      </w:r>
    </w:p>
    <w:p>
      <w:pPr>
        <w:ind w:left="780"/>
      </w:pPr>
      <w:r>
        <w:t xml:space="preserve">e) Erfüllung gesetzlicher Mitteilungspflichten nach § 118 Abs. 4 Satz 4 Nr. 6 des Zwölften Buches Sozialgesetzbuch,</w:t>
      </w:r>
    </w:p>
    <w:p>
      <w:pPr>
        <w:ind w:left="420"/>
      </w:pPr>
      <w:r>
        <w:t xml:space="preserve">und</w:t>
      </w:r>
    </w:p>
    <w:p>
      <w:pPr>
        <w:ind w:left="420"/>
      </w:pPr>
      <w:r>
        <w:t xml:space="preserve">2. auf andere Weise nicht oder nicht rechtzeitig oder nur mit unverhältnismäßigem Aufwand zu erlangen.</w:t>
      </w:r>
    </w:p>
    <w:p>
      <w:r>
        <w:t xml:space="preserve">Die ersuchende Behörde hat Aufzeichnungen über das Ersuchen mit einem Hinweis auf dessen Anlass zu führen. Die Aufzeichnungen sind gesondert aufzubewahren, durch technische und organisatorische Maßnahmen zu sichern und am Ende des Kalenderjahres, das dem Jahr der Erstellung der Aufzeichnung folgt, zu vernichten. Die Aufzeichnungen dürfen nur zur Kontrolle der Zulässigkeit der Übermittlungen verwertet werden, es sei denn, es liegen Anhaltspunkte dafür vor, dass ihre Verwertung zur Aufklärung oder Verhütung einer schwerwiegenden Straftat gegen Leib, Leben oder Freiheit einer Person führen kann und die Aufklärung oder Verhütung ohne diese Maßnahme aussichtslos oder wesentlich erschwert wäre.</w:t>
      </w:r>
    </w:p>
    <w:p>
      <w:r>
        <w:t xml:space="preserve">(4) Auf Ersuchen des Bundeskriminalamtes kann das Kraftfahrt-Bundesamt die im Zentralen Fahrzeugregister gespeicherten Halterdaten mit dem polizeilichen Fahndungsbestand der mit Haftbefehl gesuchten Personen abgleichen. Die dabei ermittelten Daten gesuchter Personen dürfen dem Bundeskriminalamt übermittelt werden. Das Ersuchen des Bundeskriminalamtes erfolgt durch Übersendung eines Datenträgers.</w:t>
      </w:r>
    </w:p>
    <w:p>
      <w:r>
        <w:t xml:space="preserve">(4a) Auf Ersuchen der Auskunftsstelle nach § 8a des Pflichtversicherungsgesetzes übermitteln die Zulassungsbehörden und das Kraftfahrt-Bundesamt die nach § 33 Abs. 1 gespeicherten Fahrzeugdaten und Halterdaten zu den in § 8a Abs. 1 des Pflichtversicherungsgesetzes genannten Zwecken.</w:t>
      </w:r>
    </w:p>
    <w:p>
      <w:r>
        <w:t xml:space="preserve">(4b) Zu den in § 7 Absatz 2 des Internationalen Familienrechtsverfahrensgesetzes, § 4 Abs. 3 Satz 2 des Erwachsenenschutzübereinkommens-Ausführungsgesetzes vom 17. März 2007 (BGBl. I S. 314) und den in den §§ 16 und 17 des Auslandsunterhaltsgesetzes vom 23. Mai 2011 (BGBl. I S. 898) bezeichneten Zwecken übermittelt das Kraftfahrt-Bundesamt der in diesen Vorschriften bezeichneten Zentralen Behörde auf Ersuchen die nach § 33 Abs. 1 Satz 1 Nr. 2 gespeicherten Halterdaten.</w:t>
      </w:r>
    </w:p>
    <w:p>
      <w:r>
        <w:t xml:space="preserve">(4c) Auf Ersuchen übermittelt das Kraftfahrt-Bundesamt</w:t>
      </w:r>
    </w:p>
    <w:p>
      <w:pPr>
        <w:ind w:left="420"/>
      </w:pPr>
      <w:r>
        <w:t xml:space="preserve">1. dem Gerichtsvollzieher zu den in § 755 der Zivilprozessordnung genannten Zwecken und</w:t>
      </w:r>
    </w:p>
    <w:p>
      <w:pPr>
        <w:ind w:left="420"/>
      </w:pPr>
      <w:r>
        <w:t xml:space="preserve">2. der für die Vollstreckung nach dem Verwaltungs-Vollstreckungsgesetz oder nach den Verwaltungsvollstreckungsgesetzen der Länder zuständigen Behörde, soweit diese die Angaben nicht durch Anfrage bei der Meldebehörde ermitteln kann, zur Durchführung eines Vollstreckungsverfahrens</w:t>
      </w:r>
    </w:p>
    <w:p>
      <w:r>
        <w:t xml:space="preserve">die nach § 33 Absatz 1 Satz 1 Nummer 2 gespeicherten Halterdaten, soweit kein Grund zu der Annahme besteht, dass dadurch schutzwürdige Interessen des Betroffenen beeinträchtigt werden.</w:t>
      </w:r>
    </w:p>
    <w:p>
      <w:r>
        <w:t xml:space="preserve">(5) Die nach § 33 Absatz 1 oder 3 gespeicherten Fahrzeugdaten und Halterdaten dürfen nach näherer Bestimmung durch Rechtsverordnung (§ 47 Nummer 3) regelmäßig übermittelt werden</w:t>
      </w:r>
    </w:p>
    <w:p>
      <w:pPr>
        <w:ind w:left="420"/>
      </w:pPr>
      <w:r>
        <w:t xml:space="preserve">1. von den Zulassungsbehörden an das Kraftfahrt-Bundesamt für das Zentrale Fahrzeugregister und vom Kraftfahrt-Bundesamt an die Zulassungsbehörden für die örtlichen Fahrzeugregister,</w:t>
      </w:r>
    </w:p>
    <w:p>
      <w:pPr>
        <w:ind w:left="420"/>
      </w:pPr>
      <w:r>
        <w:t xml:space="preserve">2. von den Zulassungsbehörden an andere Zulassungsbehörden, wenn diese mit dem betreffenden Fahrzeug befasst sind oder befasst waren,</w:t>
      </w:r>
    </w:p>
    <w:p>
      <w:pPr>
        <w:ind w:left="420"/>
      </w:pPr>
      <w:r>
        <w:t xml:space="preserve">3. von den Zulassungsbehörden an die Versicherer zur Gewährleistung des vorgeschriebenen Versicherungsschutzes (§ 32 Abs. 1 Nr. 2),</w:t>
      </w:r>
    </w:p>
    <w:p>
      <w:pPr>
        <w:ind w:left="420"/>
      </w:pPr>
      <w:r>
        <w:t xml:space="preserve">4. von den Zulassungsbehörden an die für die Ausübung der Verwaltung der Kraftfahrzeugsteuer zuständigen Behörden zur Durchführung des Kraftfahrzeugsteuerrechts (§ 32 Abs. 1 Nr. 3),</w:t>
      </w:r>
    </w:p>
    <w:p>
      <w:pPr>
        <w:ind w:left="420"/>
      </w:pPr>
      <w:r>
        <w:t xml:space="preserve">5. von den Zulassungsbehörden und vom Kraftfahrt-Bundesamt für Maßnahmen nach dem Bundesleistungsgesetz, dem Verkehrssicherstellungsgesetz, dem Verkehrsleistungsgesetz oder des Katastrophenschutzes nach den hierzu erlassenen Gesetzen der Länder oder den darauf beruhenden Rechtsvorschriften an die hierfür zuständigen Behörden (§ 32 Abs. 1 Nr. 4 und 5),</w:t>
      </w:r>
    </w:p>
    <w:p>
      <w:pPr>
        <w:ind w:left="420"/>
      </w:pPr>
      <w:r>
        <w:t xml:space="preserve">6. von den Zulassungsbehörden für Prüfungen nach § 118 Abs. 4 Satz 4 Nr. 6 des Zwölften Buches Sozialgesetzbuch an die Träger der Sozialhilfe nach dem Zwölften Buch Sozialgesetzbuch.</w:t>
      </w:r>
    </w:p>
    <w:p>
      <w:r>
        <w:t xml:space="preserve">(6) Das Kraftfahrt-Bundesamt als übermittelnde Behörde hat Aufzeichnungen zu führen, die die übermittelten Daten, den Zeitpunkt der Übermittlung, den Empfänger der Daten und den vom Empfänger angegebenen Zweck enthalten. Die Aufzeichnungen dürfen nur zur Kontrolle der Zulässigkeit der Übermittlungen verwertet werden, sind durch technische und organisatorische Maßnahmen gegen Missbrauch zu sichern und am Ende des Kalenderhalbjahres, das dem Halbjahr der Übermittlung folgt, zu löschen oder zu vernichten. Bei Übermittlung nach Absatz 5 sind besondere Aufzeichnungen entbehrlich, wenn die Angaben nach Satz 1 aus dem Register oder anderen Unterlagen entnommen werden können. Die Sätze 1 und 2 gelten auch für die Übermittlungen durch das Kraftfahrt-Bundesamt nach den §§ 37 bis 40.</w:t>
      </w:r>
    </w:p>
    <w:p>
      <w:r>
        <w:t xml:space="preserve">(7) Die Übermittlung nach den Absätzen 1 bis 6 unterbleibt, wenn die Übermittlung bei entsprechendem Abruf auf Grund von § 36 im automatisierten Verfahren erfolgen dürfte.</w:t>
      </w:r>
    </w:p>
    <w:p>
      <w:r>
        <w:rPr>
          <w:color w:val="555555"/>
          <w:sz w:val="17"/>
        </w:rPr>
        <w:t xml:space="preserve">Zitiervorschlag: § 35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