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StVG — Zweckbestimmung der Fahrzeugregister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Fahrzeugregister werden geführt zur Speicherung von Daten</w:t>
      </w:r>
    </w:p>
    <w:p>
      <w:pPr>
        <w:ind w:left="420"/>
      </w:pPr>
      <w:r>
        <w:t xml:space="preserve">1. für die Zulassung und Überwachung von Fahrzeugen nach diesem Gesetz oder den darauf beruhenden Rechtsvorschriften,</w:t>
      </w:r>
    </w:p>
    <w:p>
      <w:pPr>
        <w:ind w:left="420"/>
      </w:pPr>
      <w:r>
        <w:t xml:space="preserve">2. für Maßnahmen zur Gewährleistung des Versicherungsschutzes im Rahmen der Kraftfahrzeughaftpflichtversicherung,</w:t>
      </w:r>
    </w:p>
    <w:p>
      <w:pPr>
        <w:ind w:left="420"/>
      </w:pPr>
      <w:r>
        <w:t xml:space="preserve">3. für Maßnahmen zur Durchführung des Kraftfahrzeugsteuerrechts,</w:t>
      </w:r>
    </w:p>
    <w:p>
      <w:pPr>
        <w:ind w:left="420"/>
      </w:pPr>
      <w:r>
        <w:t xml:space="preserve">4. für Maßnahmen nach dem Bundesleistungsgesetz, dem Verkehrssicherstellungsgesetz, dem Verkehrsleistungsgesetz oder den darauf beruhenden Rechtsvorschriften,</w:t>
      </w:r>
    </w:p>
    <w:p>
      <w:pPr>
        <w:ind w:left="420"/>
      </w:pPr>
      <w:r>
        <w:t xml:space="preserve">5. für Maßnahmen des Katastrophenschutzes nach den hierzu erlassenen Gesetzen der Länder oder den darauf beruhenden Rechtsvorschriften,</w:t>
      </w:r>
    </w:p>
    <w:p>
      <w:pPr>
        <w:ind w:left="420"/>
      </w:pPr>
      <w:r>
        <w:t xml:space="preserve">6. für Maßnahmen zur Durchführung des Altfahrzeugrechts,</w:t>
      </w:r>
    </w:p>
    <w:p>
      <w:pPr>
        <w:ind w:left="420"/>
      </w:pPr>
      <w:r>
        <w:t xml:space="preserve">7. (weggefallen)</w:t>
      </w:r>
    </w:p>
    <w:p>
      <w:pPr>
        <w:ind w:left="420"/>
      </w:pPr>
      <w:r>
        <w:t xml:space="preserve">8. für Maßnahmen zur Durchführung der Datenverarbeitung bei Kraftfahrzeugen mit automatisierter Fahrfunktion nach diesem Gesetz oder nach den auf diesem Gesetz beruhenden Rechtsvorschriften und</w:t>
      </w:r>
    </w:p>
    <w:p>
      <w:pPr>
        <w:ind w:left="420"/>
      </w:pPr>
      <w:r>
        <w:t xml:space="preserve">9. für Maßnahmen nach oder zur Umsetzung von unionsrechtlichen Vorschriften, soweit diese die Verwendung von in den Fahrzeugregistern gespeicherten Daten erfordern.</w:t>
      </w:r>
    </w:p>
    <w:p>
      <w:r>
        <w:t xml:space="preserve">(2) Die Fahrzeugregister werden außerdem geführt zur Speicherung von Daten für die Erteilung von Auskünften, um</w:t>
      </w:r>
    </w:p>
    <w:p>
      <w:pPr>
        <w:ind w:left="420"/>
      </w:pPr>
      <w:r>
        <w:t xml:space="preserve">1. Personen in ihrer Eigenschaft als Halter von Fahrzeugen,</w:t>
      </w:r>
    </w:p>
    <w:p>
      <w:pPr>
        <w:ind w:left="420"/>
      </w:pPr>
      <w:r>
        <w:t xml:space="preserve">2. Fahrzeuge eines Halters oder</w:t>
      </w:r>
    </w:p>
    <w:p>
      <w:pPr>
        <w:ind w:left="420"/>
      </w:pPr>
      <w:r>
        <w:t xml:space="preserve">3. Fahrzeugdaten</w:t>
      </w:r>
    </w:p>
    <w:p>
      <w:r>
        <w:t xml:space="preserve">festzustellen oder zu bestimmen.</w:t>
      </w:r>
    </w:p>
    <w:p>
      <w:r>
        <w:t xml:space="preserve">(3) Das Zentrale Fahrzeugregister wird außerdem geführt zur Verwendung und Übermittlung der nach § 33 Absatz 1 gespeicherten Daten, um im Einzelfall Halter von Fahrzeugen zu informieren über fahrzeugbezogene Maßnahmen,</w:t>
      </w:r>
    </w:p>
    <w:p>
      <w:pPr>
        <w:ind w:left="420"/>
      </w:pPr>
      <w:r>
        <w:t xml:space="preserve">1. die für ihre Fahrzeuge in Betracht kommen und</w:t>
      </w:r>
    </w:p>
    <w:p>
      <w:pPr>
        <w:ind w:left="420"/>
      </w:pPr>
      <w:r>
        <w:t xml:space="preserve">2. die dem Schutz der Verkehrssicherheit, der Gesundheit von Personen oder der Umwelt dienen.</w:t>
      </w:r>
    </w:p>
    <w:p>
      <w:r>
        <w:t xml:space="preserve">Fahrzeugbezogene Maßnahmen können insbesondere auf die Verbesserung von Fahrzeugeigenschaften, insbesondere auf die Verbesserung des Abgasverhaltens, des Geräuschverhaltens, des Kraftstoffverbrauchs oder des Fahrverhaltens abzielen.</w:t>
      </w:r>
    </w:p>
    <w:p>
      <w:r>
        <w:rPr>
          <w:color w:val="555555"/>
          <w:sz w:val="17"/>
        </w:rPr>
        <w:t xml:space="preserve">Zitiervorschlag: § 32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