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30c StVG — Verordnungsermächtigungen, Ausführungsvorschriften</w:t>
      </w:r>
    </w:p>
    <w:p>
      <w:r>
        <w:rPr>
          <w:color w:val="555555"/>
          <w:sz w:val="18"/>
        </w:rPr>
        <w:t xml:space="preserve">Straßenverkehrsgesetz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Das Bundesministerium für Verkehr wird ermächtigt, Rechtsverordnungen mit Zustimmung des Bundesrates zu erlassen über</w:t>
      </w:r>
    </w:p>
    <w:p>
      <w:pPr>
        <w:ind w:left="420"/>
      </w:pPr>
      <w:r>
        <w:t xml:space="preserve">1. den Inhalt der Eintragungen einschließlich der Personendaten nach § 28 Abs. 3,</w:t>
      </w:r>
    </w:p>
    <w:p>
      <w:pPr>
        <w:ind w:left="420"/>
      </w:pPr>
      <w:r>
        <w:t xml:space="preserve">2. Verkürzungen der Tilgungsfristen nach § 29 Abs. 1 Satz 5 und über Tilgungen ohne Rücksicht auf den Lauf der Fristen nach § 29 Abs. 3 Nr. 3,</w:t>
      </w:r>
    </w:p>
    <w:p>
      <w:pPr>
        <w:ind w:left="420"/>
      </w:pPr>
      <w:r>
        <w:t xml:space="preserve">3. die Art und den Umfang der zu übermittelnden Daten nach § 30 Absatz 1 bis 4b, 7 und 10 sowie die Bestimmung der Empfänger und den Geschäftsweg bei Übermittlungen nach § 30 Abs. 7 und 10,</w:t>
      </w:r>
    </w:p>
    <w:p>
      <w:pPr>
        <w:ind w:left="420"/>
      </w:pPr>
      <w:r>
        <w:t xml:space="preserve">4. den Identitätsnachweis bei Auskünften nach § 30 Abs. 8,</w:t>
      </w:r>
    </w:p>
    <w:p>
      <w:pPr>
        <w:ind w:left="420"/>
      </w:pPr>
      <w:r>
        <w:t xml:space="preserve">5. die Art und den Umfang der zu übermittelnden Daten nach § 28 Absatz 4 Satz 2 und § 30a Abs. 1, die Maßnahmen zur Sicherung gegen Missbrauch nach § 30a Abs. 2, die weiteren Aufzeichnungen nach § 30a Abs. 4 beim Abruf im automatisierten Verfahren und die Bestimmung der Empfänger bei Übermittlungen nach § 30a Abs. 5,</w:t>
      </w:r>
    </w:p>
    <w:p>
      <w:pPr>
        <w:ind w:left="420"/>
      </w:pPr>
      <w:r>
        <w:t xml:space="preserve">6. die Art und den Umfang der zu übermittelnden Daten nach § 30b Abs. 1 und die Maßnahmen zur Sicherung gegen Missbrauch nach § 30b Abs. 2 Nr. 1,</w:t>
      </w:r>
    </w:p>
    <w:p>
      <w:pPr>
        <w:ind w:left="420"/>
      </w:pPr>
      <w:r>
        <w:t xml:space="preserve">7. die Art und Weise der Durchführung von Datenübermittlungen,</w:t>
      </w:r>
    </w:p>
    <w:p>
      <w:pPr>
        <w:ind w:left="420"/>
      </w:pPr>
      <w:r>
        <w:t xml:space="preserve">8. die Zusammenarbeit zwischen Bundeszentralregister und Fahreignungsregister.</w:t>
      </w:r>
    </w:p>
    <w:p>
      <w:r>
        <w:t xml:space="preserve">Die Rechtsverordnungen nach Satz 1 Nummer 7, soweit Justizbehörden betroffen sind, und nach Satz 1 Nummer 8 werden im Einvernehmen mit dem Bundesministerium der Justiz und für Verbraucherschutz erlassen.</w:t>
      </w:r>
    </w:p>
    <w:p>
      <w:r>
        <w:rPr>
          <w:color w:val="555555"/>
          <w:sz w:val="17"/>
        </w:rPr>
        <w:t xml:space="preserve">Zitiervorschlag: § 30c StVG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https://recht.nulegal.eu/gesetze/StVG/30c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