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30b StVG — Automatisiertes Anfrage- und Auskunftsverfahren beim Kraftfahrt-Bundesamt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Übermittlung von Daten aus dem Fahreignungsregister nach § 30 Absatz 1 bis 4b und 7 darf nach näherer Bestimmung durch Rechtsverordnung gemäß § 30c Abs. 1 Nr. 6 in einem automatisierten Anfrage- und Auskunftsverfahren erfolgen. Die anfragende Stelle hat die Zwecke anzugeben, für die die zu übermittelnden Daten benötigt werden.</w:t>
      </w:r>
    </w:p>
    <w:p>
      <w:r>
        <w:t xml:space="preserve">(2) Solche Verfahren dürfen nur eingerichtet werden, wenn gewährleistet ist, dass</w:t>
      </w:r>
    </w:p>
    <w:p>
      <w:pPr>
        <w:ind w:left="420"/>
      </w:pPr>
      <w:r>
        <w:t xml:space="preserve">1. die zur Sicherung gegen Missbrauch erforderlichen technischen und organisatorischen Maßnahmen ergriffen werden und</w:t>
      </w:r>
    </w:p>
    <w:p>
      <w:pPr>
        <w:ind w:left="420"/>
      </w:pPr>
      <w:r>
        <w:t xml:space="preserve">2. die Zulässigkeit der Übermittlung nach Maßgabe des Absatzes 3 kontrolliert werden kann.</w:t>
      </w:r>
    </w:p>
    <w:p>
      <w:r>
        <w:t xml:space="preserve">(3) Das Kraftfahrt-Bundesamt als übermittelnde Behörde hat Aufzeichnungen zu führen, die die übermittelten Daten, den Zeitpunkt der Übermittlung, den Empfänger der Daten und den vom Empfänger angegebenen Zweck enthalten. § 30a Abs. 3 Satz 3 und 4 gilt entsprechend.</w:t>
      </w:r>
    </w:p>
    <w:p>
      <w:r>
        <w:rPr>
          <w:color w:val="555555"/>
          <w:sz w:val="17"/>
        </w:rPr>
        <w:t xml:space="preserve">Zitiervorschlag: § 30b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