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StVG — Zuständige Verwaltungsbehörde; Verjährung</w:t>
      </w:r>
    </w:p>
    <w:p>
      <w:r>
        <w:rPr>
          <w:color w:val="555555"/>
          <w:sz w:val="18"/>
        </w:rPr>
        <w:t xml:space="preserve">Straßenverkehrsgesetz</w:t>
      </w:r>
    </w:p>
    <w:p>
      <w:r>
        <w:rPr>
          <w:color w:val="555555"/>
          <w:sz w:val="18"/>
        </w:rPr>
        <w:t xml:space="preserve">Stand: 01.07.2026 (konsolidierte Textfassung, kein amtliches Inkrafttretensdatum)</w:t>
      </w:r>
    </w:p>
    <w:p>
      <w:r>
        <w:t xml:space="preserve">(1) Verwaltungsbehörde im Sinne des § 36 Absatz 1 Nummer 1 des Gesetzes über Ordnungswidrigkeiten ist in den Fällen des § 23 Absatz 1, § 24 Absatz 1, § 24a Absatz 1 bis 2a und § 24c Absatz 1 die Behörde oder Dienststelle der Polizei, die von der Landesregierung durch Rechtsverordnung näher bestimmt wird. Die Landesregierung kann die Ermächtigung auf die zuständige oberste Landesbehörde übertragen.</w:t>
      </w:r>
    </w:p>
    <w:p>
      <w:r>
        <w:t xml:space="preserve">(2) Verwaltungsbehörde im Sinne des § 36 Absatz 1 Nummer 1 des Gesetzes über Ordnungswidrigkeiten ist das Kraftfahrt-Bundesamt</w:t>
      </w:r>
    </w:p>
    <w:p>
      <w:pPr>
        <w:ind w:left="420"/>
      </w:pPr>
      <w:r>
        <w:t xml:space="preserve">1. abweichend von Absatz 1 bei Ordnungswidrigkeiten nach § 24 Absatz 1, soweit es für den Vollzug der bewehrten Vorschriften zuständig ist, oder</w:t>
      </w:r>
    </w:p>
    <w:p>
      <w:pPr>
        <w:ind w:left="420"/>
      </w:pPr>
      <w:r>
        <w:t xml:space="preserve">2. bei Ordnungswidrigkeiten nach § 24 Absatz 2 Satz 1.</w:t>
      </w:r>
    </w:p>
    <w:p>
      <w:r>
        <w:t xml:space="preserve">(3) Die Frist der Verfolgungsverjährung beträgt bei Ordnungswidrigkeiten nach § 24 Absatz 1 sechs Monate. Abweichend von Satz 1 beträgt die Frist der Verfolgungsverjährung bei Ordnungswidrigkeiten nach § 24 Absatz 1 in Verbindung mit § 6 Absatz 1 Satz 1 Nummer 5 oder 10 zwei Jahre, soweit diese Ordnungswidrigkeiten Zuwiderhandlungen gegen Vorschriften mit Anforderungen an Fahrzeuge oder Fahrzeugteile betreffen, die der Genehmigung ihrer Bauart bedürfen. Die Frist der Verfolgungsverjährung beträgt bei Ordnungswidrigkeiten nach § 24 Absatz 2 Satz 1 Nummer 1 Buchstabe c und d und Nummer 2 Buchstabe c und d fünf Jahre.</w:t>
      </w:r>
    </w:p>
    <w:p>
      <w:r>
        <w:rPr>
          <w:color w:val="555555"/>
          <w:sz w:val="17"/>
        </w:rPr>
        <w:t xml:space="preserve">Zitiervorschlag: § 26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