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StVG — Fahrverbot</w:t>
      </w:r>
    </w:p>
    <w:p>
      <w:r>
        <w:rPr>
          <w:color w:val="555555"/>
          <w:sz w:val="18"/>
        </w:rPr>
        <w:t xml:space="preserve">Straßenverkehrsgesetz</w:t>
      </w:r>
    </w:p>
    <w:p>
      <w:r>
        <w:rPr>
          <w:color w:val="555555"/>
          <w:sz w:val="18"/>
        </w:rPr>
        <w:t xml:space="preserve">Stand: 01.06.2026 (konsolidierte Textfassung, kein amtliches Inkrafttretensdatum)</w:t>
      </w:r>
    </w:p>
    <w:p>
      <w:r>
        <w:t xml:space="preserve">(1) Wird gegen die betroffene Person wegen einer Ordnungswidrigkeit nach § 24 Absatz 1, die sie unter grober oder beharrlicher Verletzung der Pflichten eines Kraftfahrzeugführers begangen hat, eine Geldbuße festgesetzt, so kann ihr die Verwaltungsbehörde oder das Gericht in der Bußgeldentscheidung für die Dauer von einem Monat bis zu drei Monaten verbieten, im Straßenverkehr Kraftfahrzeuge jeder oder einer bestimmten Art zu führen. Wird gegen die betroffene Person wegen einer Ordnungswidrigkeit nach § 24a Absatz 1 bis 2a eine Geldbuße festgesetzt, so ist in der Regel auch ein Fahrverbot anzuordnen.</w:t>
      </w:r>
    </w:p>
    <w:p>
      <w:r>
        <w:t xml:space="preserve">(2) Das Fahrverbot wird wirksam, wenn der Führerschein nach Rechtskraft der Bußgeldentscheidung in amtliche Verwahrung gelangt oder das Fahrverbot im Inland in ihm vermerkt ist, spätestens jedoch einen Monat nach Eintritt der Rechtskraft der Bußgeldentscheidung.</w:t>
      </w:r>
    </w:p>
    <w:p>
      <w:r>
        <w:t xml:space="preserve">(2a) Für die Dauer des Fahrverbots werden von einer deutschen Behörde ausgestellte nationale und internationale Führerscheine amtlich verwahrt. Dies gilt auch, wenn der Führerschein von einer Behörde eines Mitgliedstaates der Europäischen Union oder eines anderen Vertragsstaates des Abkommens über den Europäischen Wirtschaftsraum ausgestellt wurde, sofern der Inhaber seinen ordentlichen Wohnsitz im Inland hat. In einem ausländischen Führerschein, der weder von einem Mitgliedstaat der Europäischen Union noch von einem anderen Vertragsstaat des Abkommens über den Europäischen Wirtschaftsraum ausgestellt wurde, wird das Fahrverbot vermerkt. Wird der Führerschein für die Zwecke der amtlichen Verwahrung oder der Eintragung des Vermerks nicht freiwillig herausgegeben, so ist er zu beschlagnahmen.</w:t>
      </w:r>
    </w:p>
    <w:p>
      <w:r>
        <w:t xml:space="preserve">(3) Ist in den zwei Jahren vor Begehen der Ordnungswidrigkeit nicht die Rechtskraft einer Entscheidung über ein gegen die betroffene Person verhängtes Fahrverbot eingetreten und tritt diese bis zur Entscheidung nach Absatz 1 auch nicht ein, so hat die Verwaltungsbehörde oder das Gericht,</w:t>
      </w:r>
    </w:p>
    <w:p>
      <w:pPr>
        <w:ind w:left="420"/>
      </w:pPr>
      <w:r>
        <w:t xml:space="preserve">1. wenn der Führerschein amtlich zu verwahren oder das Fahrverbot auf dem Führerschein zu vermerken ist, zu bestimmen, dass abweichend von der in Absatz 2 genannten Frist von einem Monat nach Eintritt der Rechtskraft der Bußgeldentscheidung das Fahrverbot spätestens vier Monate nach Eintritt der Rechtskraft der Bußgeldentscheidung wirksam wird,</w:t>
      </w:r>
    </w:p>
    <w:p>
      <w:pPr>
        <w:ind w:left="420"/>
      </w:pPr>
      <w:r>
        <w:t xml:space="preserve">2. in den in Nummer 1 nicht genannten Fällen abweichend von Absatz 2,</w:t>
      </w:r>
    </w:p>
    <w:p>
      <w:pPr>
        <w:ind w:left="780"/>
      </w:pPr>
      <w:r>
        <w:t xml:space="preserve">a) wenn der Betroffene in einer schriftlichen oder elektronischen Erklärung einen Zeitpunkt abstrakt nach Tagen, Wochen oder Monaten nach Eintritt der Rechtskraft der Bußgeldentscheidung für den Beginn der Wirksamkeit des Fahrverbots benannt hat, der innerhalb eines Zeitraums von einem bis vier Monaten nach Eintritt der Rechtskraft der Bußgeldentscheidung liegt, diesen Zeitpunkt für den Beginn der Wirksamkeit des Fahrverbots festzulegen oder</w:t>
      </w:r>
    </w:p>
    <w:p>
      <w:pPr>
        <w:ind w:left="780"/>
      </w:pPr>
      <w:r>
        <w:t xml:space="preserve">b) wenn der Betroffene keine Erklärung im Sinne des Buchstabens a abgegeben hat, zu bestimmen, dass das Fahrverbot mit Ablauf von vier Monaten nach Eintritt der Rechtskraft der Bußgeldentscheidung wirksam wird.</w:t>
      </w:r>
    </w:p>
    <w:p>
      <w:r>
        <w:t xml:space="preserve">(4) Werden gegen die betroffene Person mehrere Fahrverbote rechtskräftig verhängt, so sind die Verbotsfristen nacheinander zu berechnen. Die Verbotsfrist auf Grund des früher wirksam gewordenen Fahrverbots läuft zuerst. Werden Fahrverbote gleichzeitig wirksam, so läuft die Verbotsfrist auf Grund des früher angeordneten Fahrverbots zuerst; bei gleichzeitiger Anordnung ist die frühere Tat maßgebend.</w:t>
      </w:r>
    </w:p>
    <w:p>
      <w:r>
        <w:t xml:space="preserve">(5) Wird der Führerschein in den Fällen Absatzes 2a Satz 4 bei der betroffenen Person nicht vorgefunden, so hat sie auf Antrag der Vollstreckungsbehörde (§ 92 des Gesetzes über Ordnungswidrigkeiten) bei dem Amtsgericht eine eidesstattliche Versicherung über den Verbleib des Führerscheins abzugeben. § 883 Abs. 2 und 3 der Zivilprozessordnung gilt entsprechend.</w:t>
      </w:r>
    </w:p>
    <w:p>
      <w:r>
        <w:t xml:space="preserve">(6) Ist ein Führerschein amtlich zu verwahren oder das Fahrverbot in einem ausländischen Führerschein zu vermerken, so wird die Verbotsfrist erst von dem Tag an gerechnet, an dem dies geschieht. In den übrigen Fällen wird die Verbotsfrist ab dem Tag des Eintritts der Wirksamkeit des Fahrverbots gerechnet. In die Verbotsfrist wird die Zeit nicht eingerechnet, in welcher der Täter auf behördliche Anordnung in einer Anstalt verwahrt wird.</w:t>
      </w:r>
    </w:p>
    <w:p>
      <w:r>
        <w:t xml:space="preserve">(7) Die Dauer einer vorläufigen Entziehung der Fahrerlaubnis (§ 111a der Strafprozessordnung) wird auf das Fahrverbot angerechnet. Es kann jedoch angeordnet werden, dass die Anrechnung ganz oder zum Teil unterbleibt, wenn sie im Hinblick auf das Verhalten der betroffenen Person nach Begehung der Ordnungswidrigkeit nicht gerechtfertigt ist. Der vorläufigen Entziehung der Fahrerlaubnis steht die Verwahrung, Sicherstellung oder Beschlagnahme des Führerscheins (§ 94 der Strafprozessordnung) gleich.</w:t>
      </w:r>
    </w:p>
    <w:p>
      <w:r>
        <w:t xml:space="preserve">(8) Wird das Fahrverbot nach Absatz 1 im Strafverfahren angeordnet (§ 82 des Gesetzes über Ordnungswidrigkeiten), so kann die Rückgabe eines in Verwahrung genommenen, sichergestellten oder beschlagnahmten Führerscheins aufgeschoben werden, wenn die betroffene Person nicht widerspricht. In diesem Fall ist die Zeit nach dem Urteil unverkürzt auf das Fahrverbot anzurechnen.</w:t>
      </w:r>
    </w:p>
    <w:p>
      <w:r>
        <w:t xml:space="preserve">(9) Über den Zeitpunkt der Wirksamkeit des Fahrverbots nach Absatz 2 oder 3 und über den Beginn der Verbotsfrist nach Absatz 6 Satz 1 oder 2 ist die betroffene Person bei der Zustellung der Bußgeldentscheidung oder im Anschluss an deren Verkündung zu belehren.</w:t>
      </w:r>
    </w:p>
    <w:p>
      <w:r>
        <w:rPr>
          <w:color w:val="555555"/>
          <w:sz w:val="17"/>
        </w:rPr>
        <w:t xml:space="preserve">Zitiervorschlag: § 25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