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24c StVG — Alkohol- und Cannabisverbot für Fahranfänger und Fahranfängerinnen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22.08.2024 (konsolidierte Textfassung, kein amtliches Inkrafttretensdatum)</w:t>
      </w:r>
    </w:p>
    <w:p>
      <w:r>
        <w:t xml:space="preserve">(1) Ordnungswidrig handelt, wer vorsätzlich oder fahrlässig in der Probezeit nach § 2a oder vor Vollendung des 21. Lebensjahres als Führer eines Kraftfahrzeugs im Straßenverkehr</w:t>
      </w:r>
    </w:p>
    <w:p>
      <w:pPr>
        <w:ind w:left="420"/>
      </w:pPr>
      <w:r>
        <w:t xml:space="preserve">1. ein alkoholisches Getränk oder die Substanz Tetrahydrocannabinol zu sich nimmt oder</w:t>
      </w:r>
    </w:p>
    <w:p>
      <w:pPr>
        <w:ind w:left="420"/>
      </w:pPr>
      <w:r>
        <w:t xml:space="preserve">2. die Fahrt antritt, obwohl er unter der Wirkung eines alkoholischen Getränks oder der Substanz Tetrahydrocannabinol steht.</w:t>
      </w:r>
    </w:p>
    <w:p>
      <w:r>
        <w:t xml:space="preserve">(2) Die Ordnungswidrigkeit kann mit einer Geldbuße geahndet werden.</w:t>
      </w:r>
    </w:p>
    <w:p>
      <w:r>
        <w:t xml:space="preserve">(3) Absatz 1 ist nicht anzuwenden, wenn die Substanz Tetrahydrocannabinol aus der bestimmungsgemäßen Einnahme eines für einen konkreten Krankheitsfall verschriebenen Arzneimittels herrührt.</w:t>
      </w:r>
    </w:p>
    <w:p>
      <w:r>
        <w:rPr>
          <w:color w:val="555555"/>
          <w:sz w:val="17"/>
        </w:rPr>
        <w:t xml:space="preserve">Zitiervorschlag: § 24c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