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StVG — Missbrauch von Wegstreckenzählern und Geschwindigkeitsbegrenzern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die Messung eines Wegstreckenzählers, mit dem ein Kraftfahrzeug ausgerüstet ist, dadurch verfälscht, dass er durch Einwirkung auf das Gerät oder den Messvorgang das Ergebnis der Messung beeinflusst,</w:t>
      </w:r>
    </w:p>
    <w:p>
      <w:pPr>
        <w:ind w:left="420"/>
      </w:pPr>
      <w:r>
        <w:t xml:space="preserve">2. die bestimmungsgemäße Funktion eines Geschwindigkeitsbegrenzers, mit dem ein Kraftfahrzeug ausgerüstet ist, durch Einwirkung auf diese Einrichtung aufhebt oder beeinträchtigt oder</w:t>
      </w:r>
    </w:p>
    <w:p>
      <w:pPr>
        <w:ind w:left="420"/>
      </w:pPr>
      <w:r>
        <w:t xml:space="preserve">3. eine Straftat nach Nummer 1 oder 2 vorbereitet, indem er Computerprogramme, deren Zweck die Begehung einer solchen Tat ist, herstellt, sich oder einem anderen verschafft, feilhält oder einem anderen überlässt.</w:t>
      </w:r>
    </w:p>
    <w:p>
      <w:r>
        <w:t xml:space="preserve">(2) In den Fällen des Absatzes 1 Nr. 3 gilt § 149 Abs. 2 und 3 des Strafgesetzbuches entsprechend.</w:t>
      </w:r>
    </w:p>
    <w:p>
      <w:r>
        <w:t xml:space="preserve">(3) Gegenstände, auf die sich die Straftat nach Absatz 1 bezieht, können eingezogen werden. § 74a des Strafgesetzbuches ist anzuwenden.</w:t>
      </w:r>
    </w:p>
    <w:p>
      <w:r>
        <w:rPr>
          <w:color w:val="555555"/>
          <w:sz w:val="17"/>
        </w:rPr>
        <w:t xml:space="preserve">Zitiervorschlag: § 22b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