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StVG — Fahren ohne Fahrerlaubnis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einem Jahr oder mit Geldstrafe wird bestraft, wer</w:t>
      </w:r>
    </w:p>
    <w:p>
      <w:pPr>
        <w:ind w:left="420"/>
      </w:pPr>
      <w:r>
        <w:t xml:space="preserve">1. ein Kraftfahrzeug führt, obwohl er die dazu erforderliche Fahrerlaubnis nicht hat oder ihm das Führen des Fahrzeugs nach § 44 des Strafgesetzbuchs oder nach § 25 dieses Gesetzes verboten ist, oder</w:t>
      </w:r>
    </w:p>
    <w:p>
      <w:pPr>
        <w:ind w:left="420"/>
      </w:pPr>
      <w:r>
        <w:t xml:space="preserve">2. als Halter eines Kraftfahrzeugs anordnet oder zulässt, dass jemand das Fahrzeug führt, der die dazu erforderliche Fahrerlaubnis nicht hat oder dem das Führen des Fahrzeugs nach § 44 des Strafgesetzbuchs oder nach § 25 dieses Gesetzes verboten ist.</w:t>
      </w:r>
    </w:p>
    <w:p>
      <w:r>
        <w:t xml:space="preserve">(2) Mit Freiheitsstrafe bis zu sechs Monaten oder mit Geldstrafe bis zu 180 Tagessätzen wird bestraft, wer</w:t>
      </w:r>
    </w:p>
    <w:p>
      <w:pPr>
        <w:ind w:left="420"/>
      </w:pPr>
      <w:r>
        <w:t xml:space="preserve">1. eine Tat nach Absatz 1 fahrlässig begeht,</w:t>
      </w:r>
    </w:p>
    <w:p>
      <w:pPr>
        <w:ind w:left="420"/>
      </w:pPr>
      <w:r>
        <w:t xml:space="preserve">2. vorsätzlich oder fahrlässig ein Kraftfahrzeug führt, obwohl der vorgeschriebene Führerschein nach § 94 der Strafprozessordnung in Verwahrung genommen, sichergestellt oder beschlagnahmt ist, oder</w:t>
      </w:r>
    </w:p>
    <w:p>
      <w:pPr>
        <w:ind w:left="420"/>
      </w:pPr>
      <w:r>
        <w:t xml:space="preserve">3. vorsätzlich oder fahrlässig als Halter eines Kraftfahrzeugs anordnet oder zulässt, dass jemand das Fahrzeug führt, obwohl der vorgeschriebene Führerschein nach § 94 der Strafprozessordnung in Verwahrung genommen, sichergestellt oder beschlagnahmt ist.</w:t>
      </w:r>
    </w:p>
    <w:p>
      <w:r>
        <w:t xml:space="preserve">(3) In den Fällen des Absatzes 1 kann das Kraftfahrzeug, auf das sich die Tat bezieht, eingezogen werden, wenn der Täter</w:t>
      </w:r>
    </w:p>
    <w:p>
      <w:pPr>
        <w:ind w:left="420"/>
      </w:pPr>
      <w:r>
        <w:t xml:space="preserve">1. das Fahrzeug geführt hat, obwohl ihm die Fahrerlaubnis entzogen oder das Führen des Fahrzeugs nach § 44 des Strafgesetzbuchs oder nach § 25 dieses Gesetzes verboten war oder obwohl eine Sperre nach § 69a Abs. 1 Satz 3 des Strafgesetzbuchs gegen ihn angeordnet war,</w:t>
      </w:r>
    </w:p>
    <w:p>
      <w:pPr>
        <w:ind w:left="420"/>
      </w:pPr>
      <w:r>
        <w:t xml:space="preserve">2. als Halter des Fahrzeugs angeordnet oder zugelassen hat, dass jemand das Fahrzeug führte, dem die Fahrerlaubnis entzogen oder das Führen des Fahrzeugs nach § 44 des Strafgesetzbuchs oder nach § 25 dieses Gesetzes verboten war oder gegen den eine Sperre nach § 69a Abs. 1 Satz 3 des Strafgesetzbuchs angeordnet war, oder</w:t>
      </w:r>
    </w:p>
    <w:p>
      <w:pPr>
        <w:ind w:left="420"/>
      </w:pPr>
      <w:r>
        <w:t xml:space="preserve">3. in den letzten drei Jahren vor der Tat schon einmal wegen einer Tat nach Absatz 1 verurteilt worden ist.</w:t>
      </w:r>
    </w:p>
    <w:p>
      <w:r>
        <w:rPr>
          <w:color w:val="555555"/>
          <w:sz w:val="17"/>
        </w:rPr>
        <w:t xml:space="preserve">Zitiervorschlag: § 21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