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1k StVG — Ausnahmen</w:t>
      </w:r>
    </w:p>
    <w:p>
      <w:r>
        <w:rPr>
          <w:color w:val="555555"/>
          <w:sz w:val="18"/>
        </w:rPr>
        <w:t xml:space="preserve">Straßenverkehrsgesetz</w:t>
      </w:r>
    </w:p>
    <w:p>
      <w:r>
        <w:rPr>
          <w:color w:val="555555"/>
          <w:sz w:val="18"/>
        </w:rPr>
        <w:t xml:space="preserve">Stand: 01.07.2026 (konsolidierte Textfassung, kein amtliches Inkrafttretensdatum)</w:t>
      </w:r>
    </w:p>
    <w:p>
      <w:r>
        <w:t xml:space="preserve">(1) Für Kraftfahrzeuge mit autonomer Fahrfunktion gemäß § 1d Absatz 1, die für militärische, nachrichtendienstliche oder polizeiliche Zwecke, für Zwecke der Zollfahndung, des Zivil- oder Katastrophenschutzes, der Brandbekämpfung, der Straßenbauverwaltung oder der Rettungsdienste bestimmt sind, können das Bundesministerium der Finanzen, das Bundesministerium des Innern, das Bundesministerium der Verteidigung, das Bundesministerium für Verkehr, das Bundeskanzleramt und die nach Landesrecht zuständigen Behörden Dienststellen in ihren jeweiligen Geschäftsbereichen, das Bundesministerium der Verteidigung Dienststellen der Bundeswehr bestimmen, die die Aufgaben des Kraftfahrt-Bundesamts an dessen Stelle für den jeweiligen Geschäftsbereich wahrnehmen.</w:t>
      </w:r>
    </w:p>
    <w:p>
      <w:r>
        <w:t xml:space="preserve">(2) Kraftfahrzeuge mit autonomer Fahrfunktion, die in der Bundeswehr, in der Bundespolizei, im Bundeskriminalamt, im Bundesnachrichtendienst, im Bundesamt für Verfassungsschutz, im Zollkriminalamt, in der Gesellschaft privaten Rechts im Sinne des Infrastrukturgesellschaftserrichtungsgesetzes, in der Landespolizei, in den Landeskriminalämtern, in den Landesämtern für Verfassungsschutz, im Zivil- und Katastrophenschutz, in den Feuerwehren, in den Rettungsdiensten oder in den Straßenbauverwaltungen eingesetzt werden, dürfen von den technischen Vorgaben, von Regelungen zur Festlegung von Betriebsbereichen und von Betriebsvorschriften sowie von den gemäß § 1j Absatz 1 erlassenen Verordnungen abweichen, wenn die Kraftfahrzeuge zur Erfüllung hoheitlicher Aufgaben bestimmt, für diese Zwecke gebaut oder ausgerüstet sind und wenn gewährleistet ist, dass die Kraftfahrzeuge unter gebührender Berücksichtigung der öffentlichen Sicherheit eingesetzt werden. Technische Voraussetzungen, Regelungen zur Festlegung von Betriebsbereichen und Betriebsvorschriften sind dabei sinngemäß anzuwenden, sofern es der jeweilige Zweck nach Absatz 1 zulässt; Abweichungen sind auf das zwingend erforderliche Maß zu beschränken.</w:t>
      </w:r>
    </w:p>
    <w:p>
      <w:r>
        <w:rPr>
          <w:color w:val="555555"/>
          <w:sz w:val="17"/>
        </w:rPr>
        <w:t xml:space="preserve">Zitiervorschlag: § 1k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https://recht.nulegal.eu/gesetze/StVG/1k</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