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1j StVG — Verordnungsermächtigung</w:t>
      </w:r>
    </w:p>
    <w:p>
      <w:r>
        <w:rPr>
          <w:color w:val="555555"/>
          <w:sz w:val="18"/>
        </w:rPr>
        <w:t xml:space="preserve">Straßenverkehrsgesetz</w:t>
      </w:r>
    </w:p>
    <w:p>
      <w:r>
        <w:rPr>
          <w:color w:val="555555"/>
          <w:sz w:val="18"/>
        </w:rPr>
        <w:t xml:space="preserve">Stand: 01.07.2026 (konsolidierte Textfassung, kein amtliches Inkrafttretensdatum)</w:t>
      </w:r>
    </w:p>
    <w:p>
      <w:r>
        <w:t xml:space="preserve">(1) Das Bundesministerium für Verkehr wird ermächtigt, durch Rechtsverordnung mit Zustimmung des Bundesrates Einzelheiten der Zulassung und des Betriebs von Kraftfahrzeugen mit autonomer Fahrfunktion auf öffentlichen Straßen nach den §§ 1d bis 1i zu regeln betreffend</w:t>
      </w:r>
    </w:p>
    <w:p>
      <w:pPr>
        <w:ind w:left="420"/>
      </w:pPr>
      <w:r>
        <w:t xml:space="preserve">1. die technischen Anforderungen und das Verfahren zur Erteilung einer Betriebserlaubnis gemäß § 1e Absatz 2 bis 4 durch das Kraftfahrt-Bundesamt, einschließlich</w:t>
      </w:r>
    </w:p>
    <w:p>
      <w:pPr>
        <w:ind w:left="780"/>
      </w:pPr>
      <w:r>
        <w:t xml:space="preserve">a) der vom Hersteller zu beachtenden technischen Anforderungen an den Bau, die Beschaffenheit und die technische Ausrüstung des Kraftfahrzeugs, der vom Hersteller zu beachtenden Anforderungen an die Datenspeicherung, die Sicherheit der eingesetzten Informationstechnik und die funktionale Sicherheit des Kraftfahrzeugs, der vom Hersteller zu beachtenden Anforderungen an die Erklärung gemäß § 1f Absatz 3 Nummer 4 sowie der vom Hersteller zu beachtenden Dokumentationspflichten,</w:t>
      </w:r>
    </w:p>
    <w:p>
      <w:pPr>
        <w:ind w:left="780"/>
      </w:pPr>
      <w:r>
        <w:t xml:space="preserve">b) der Anforderungen an die Prüfung und Validierung des Kraftfahrzeugs durch das Kraftfahrt-Bundesamt,</w:t>
      </w:r>
    </w:p>
    <w:p>
      <w:pPr>
        <w:ind w:left="780"/>
      </w:pPr>
      <w:r>
        <w:t xml:space="preserve">c) der Anforderungen an den Betrieb des Kraftfahrzeugs,</w:t>
      </w:r>
    </w:p>
    <w:p>
      <w:pPr>
        <w:ind w:left="780"/>
      </w:pPr>
      <w:r>
        <w:t xml:space="preserve">d) der Anforderungen an die Begutachtung des Kraftfahrzeugs durch das Kraftfahrt-Bundesamt,</w:t>
      </w:r>
    </w:p>
    <w:p>
      <w:pPr>
        <w:ind w:left="780"/>
      </w:pPr>
      <w:r>
        <w:t xml:space="preserve">e) der Marktüberwachung einschließlich Vorgaben zur Beteiligung weiterer Behörden bei der Bewertung der informationstechnischen Sicherheit von Kraftfahrzeugen und Fahrzeugteilen sowie der Regelung von Mitwirkungspflichten für Hersteller und Halter von Kraftfahrzeugen mit autonomer Fahrfunktion und</w:t>
      </w:r>
    </w:p>
    <w:p>
      <w:pPr>
        <w:ind w:left="780"/>
      </w:pPr>
      <w:r>
        <w:t xml:space="preserve">f) der Anerkennung und Bewertung der Wirkungsgleichheit von Erlaubnissen und Genehmigungen von automatisierten und autonomen Kraftfahrzeugen, die in einem anderen Mitgliedstaat der Europäischen Union auf Grundlage der jeweils geltenden nationalen Bestimmungen erteilt worden sind,</w:t>
      </w:r>
    </w:p>
    <w:p>
      <w:pPr>
        <w:ind w:left="420"/>
      </w:pPr>
      <w:r>
        <w:t xml:space="preserve">2. die Eignung von Betriebsbereichen und das Verfahren für die Bewertung und die Genehmigung von festgelegten Betriebsbereichen durch die nach Bundes- oder Landesrecht zuständigen Behörden oder auf Bundesfernstraßen, soweit dem Bund die Verwaltung zusteht, die Gesellschaft privaten Rechts im Sinne des Infrastrukturgesellschaftserrichtungsgesetzes,</w:t>
      </w:r>
    </w:p>
    <w:p>
      <w:pPr>
        <w:ind w:left="420"/>
      </w:pPr>
      <w:r>
        <w:t xml:space="preserve">3. Besonderheiten des Verfahrens der Zulassung, einschließlich der Kennzeichnung der Kraftfahrzeuge und Fahrzeugteile, um deren Betriebsweisen kenntlich zu machen und um die Verkehrssicherheit zu gewährleisten,</w:t>
      </w:r>
    </w:p>
    <w:p>
      <w:pPr>
        <w:ind w:left="420"/>
      </w:pPr>
      <w:r>
        <w:t xml:space="preserve">4. Anforderungen an und Pflichten für Hersteller, Halter und die Technische Aufsicht zur Gewährleistung der Verkehrssicherheit und eines sicheren Betriebs, einschließlich von</w:t>
      </w:r>
    </w:p>
    <w:p>
      <w:pPr>
        <w:ind w:left="780"/>
      </w:pPr>
      <w:r>
        <w:t xml:space="preserve">a) Anforderungen zur Freigabe von Fahrmanövern und zur Deaktivierung eines Kraftfahrzeugs durch die Technische Aufsicht gemäß § 1f Absatz 2 Nummer 1 und 2,</w:t>
      </w:r>
    </w:p>
    <w:p>
      <w:pPr>
        <w:ind w:left="780"/>
      </w:pPr>
      <w:r>
        <w:t xml:space="preserve">b) technischen und organisatorischen Anforderungen an den Halter und</w:t>
      </w:r>
    </w:p>
    <w:p>
      <w:pPr>
        <w:ind w:left="780"/>
      </w:pPr>
      <w:r>
        <w:t xml:space="preserve">c) Anforderungen an die fachliche Qualifikation und die Zuverlässigkeit der am Betrieb eines Kraftfahrzeugs mit autonomer Fahrfunktion beteiligten Personen einschließlich der hierfür erforderlichen Nachweise,</w:t>
      </w:r>
    </w:p>
    <w:p>
      <w:pPr>
        <w:ind w:left="420"/>
      </w:pPr>
      <w:r>
        <w:t xml:space="preserve">5. die technischen Einzelheiten der Speicherung der beim Betrieb des Kraftfahrzeugs mittels der autonomen Fahrfunktion erzeugten Daten nach § 1g Absatz 1, insbesondere über die genauen Zeitpunkte der Datenspeicherungen, die Parameter der Datenkategorien und die Datenformate,</w:t>
      </w:r>
    </w:p>
    <w:p>
      <w:pPr>
        <w:ind w:left="420"/>
      </w:pPr>
      <w:r>
        <w:t xml:space="preserve">6. das Verfahren zur Erteilung einer Genehmigung bei der nachträglichen Aktivierung von automatisierten und autonomen Fahrfunktionen nach § 1h einschließlich technischer Anforderungen an die Erteilung einer Betriebserlaubnis,</w:t>
      </w:r>
    </w:p>
    <w:p>
      <w:pPr>
        <w:ind w:left="420"/>
      </w:pPr>
      <w:r>
        <w:t xml:space="preserve">7. die Anforderungen und das Verfahren zur Erteilung einer Erprobungsgenehmigung nach § 1i Absatz 2 durch das Kraftfahrt-Bundesamt, einschließlich weiterer Pflichten des Halters, Ausnahmen von Anforderungen nach diesem Gesetz zu Erprobungszwecken sowie die Befugnis des Kraftfahrt-Bundesamts, Daten, die zur Schaffung einer Datenbasis zur Beurteilung der Sicherheit im Straßenverkehr und des technischen Fortschritts sowie zur evidenzbasierten Entwicklung der Regulierung von Entwicklungsstufen automatisierter oder autonomer Fahrfunktionen erforderlich sind, in anonymisierter Form zu erheben, zu speichern und zu verwenden,</w:t>
      </w:r>
    </w:p>
    <w:p>
      <w:pPr>
        <w:ind w:left="420"/>
      </w:pPr>
      <w:r>
        <w:t xml:space="preserve">8. Abweichungen von den §§ 1d bis 1i in Bezug auf Kraftfahrzeuge der Bundeswehr, der Bundespolizei, des Bundeskriminalamts, des Bundesnachrichtendienstes, des Zollkriminalamts, des Bundesamts für Verfassungsschutz, der Gesellschaft privaten Rechts im Sinne des Infrastrukturgesellschaftserrichtungsgesetzes, der Landespolizei, der Landeskriminalämter, der Landesämter für Verfassungsschutz, des Zivil- und Katastrophenschutzes, der Feuerwehren, der Rettungsdienste und der Straßenbauverwaltungen.</w:t>
      </w:r>
    </w:p>
    <w:p>
      <w:r>
        <w:t xml:space="preserve">(2) Das Bundesministerium für Verkehr wird ermächtigt, durch Rechtsverordnung ohne Zustimmung des Bundesrates Ausnahmen von den auf Grundlage des Absatzes 1 erlassenen Rechtsverordnungen zur Erprobung neuartiger Fahrzeugsteuerungseinrichtungen zu regeln. Es wird ermächtigt, durch Rechtsverordnung ohne Zustimmung des Bundesrates diese Ermächtigung auf das Kraftfahrt-Bundesamt zu übertragen.</w:t>
      </w:r>
    </w:p>
    <w:p>
      <w:r>
        <w:rPr>
          <w:color w:val="555555"/>
          <w:sz w:val="17"/>
        </w:rPr>
        <w:t xml:space="preserve">Zitiervorschlag: § 1j 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https://recht.nulegal.eu/gesetze/StVG/1j</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