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1e StVG — Betrieb von Kraftfahrzeugen mit autonomer Fahrfunktion; Widerspruch und Anfechtungsklage</w:t>
      </w:r>
    </w:p>
    <w:p>
      <w:r>
        <w:rPr>
          <w:color w:val="555555"/>
          <w:sz w:val="18"/>
        </w:rPr>
        <w:t xml:space="preserve">Straßenverkehrsgesetz</w:t>
      </w:r>
    </w:p>
    <w:p>
      <w:r>
        <w:rPr>
          <w:color w:val="555555"/>
          <w:sz w:val="18"/>
        </w:rPr>
        <w:t xml:space="preserve">Stand: 01.07.2026 (konsolidierte Textfassung, kein amtliches Inkrafttretensdatum)</w:t>
      </w:r>
    </w:p>
    <w:p>
      <w:r>
        <w:t xml:space="preserve">(1) Der Betrieb eines Kraftfahrzeugs mittels autonomer Fahrfunktion ist zulässig, wenn</w:t>
      </w:r>
    </w:p>
    <w:p>
      <w:pPr>
        <w:ind w:left="420"/>
      </w:pPr>
      <w:r>
        <w:t xml:space="preserve">1. das Kraftfahrzeug den technischen Voraussetzungen gemäß Absatz 2 entspricht,</w:t>
      </w:r>
    </w:p>
    <w:p>
      <w:pPr>
        <w:ind w:left="420"/>
      </w:pPr>
      <w:r>
        <w:t xml:space="preserve">2. für das Kraftfahrzeug eine Betriebserlaubnis nach Absatz 4 oder eine Typgenehmigung nach der Durchführungsverordnung (EU) 2022/1426 oder eine vergleichbare Genehmigung auf Grundlage einer im Geltungsbereich dieses Gesetzes anwendbaren Vorschrift erteilt worden ist,</w:t>
      </w:r>
    </w:p>
    <w:p>
      <w:pPr>
        <w:ind w:left="420"/>
      </w:pPr>
      <w:r>
        <w:t xml:space="preserve">3. das Kraftfahrzeug in einem von der nach Bundes- oder Landesrecht zuständigen Behörde oder auf Bundesfernstraßen, soweit dem Bund die Verwaltung zusteht, von der Gesellschaft privaten Rechts im Sinne des Infrastrukturgesellschaftserrichtungsgesetzes genehmigten, festgelegten Betriebsbereich eingesetzt wird und</w:t>
      </w:r>
    </w:p>
    <w:p>
      <w:pPr>
        <w:ind w:left="420"/>
      </w:pPr>
      <w:r>
        <w:t xml:space="preserve">4. das Kraftfahrzeug zur Teilnahme am öffentlichen Straßenverkehr gemäß § 1 Absatz 1 zugelassen ist.</w:t>
      </w:r>
    </w:p>
    <w:p>
      <w:r>
        <w:t xml:space="preserve">Ein Betrieb eines Kraftfahrzeugs gemäß § 1h und die Zulassung im Übrigen gemäß § 1 Absatz 1 bleiben hiervon unberührt.</w:t>
      </w:r>
    </w:p>
    <w:p>
      <w:r>
        <w:t xml:space="preserve">(2) Kraftfahrzeuge mit autonomer Fahrfunktion müssen über eine technische Ausrüstung verfügen, die in der Lage ist,</w:t>
      </w:r>
    </w:p>
    <w:p>
      <w:pPr>
        <w:ind w:left="420"/>
      </w:pPr>
      <w:r>
        <w:t xml:space="preserve">1. die Fahraufgabe innerhalb des jeweiligen festgelegten Betriebsbereichs selbstständig zu bewältigen, ohne dass eine fahrzeugführende Person in die Steuerung eingreift oder die Fahrt des Kraftfahrzeugs permanent von der Technischen Aufsicht überwacht wird,</w:t>
      </w:r>
    </w:p>
    <w:p>
      <w:pPr>
        <w:ind w:left="420"/>
      </w:pPr>
      <w:r>
        <w:t xml:space="preserve">2. selbstständig den an die Fahrzeugführung gerichteten Verkehrsvorschriften zu entsprechen und die über ein System der Unfallvermeidung verfügt, das</w:t>
      </w:r>
    </w:p>
    <w:p>
      <w:pPr>
        <w:ind w:left="780"/>
      </w:pPr>
      <w:r>
        <w:t xml:space="preserve">a) auf Schadensvermeidung und Schadensreduzierung ausgelegt ist,</w:t>
      </w:r>
    </w:p>
    <w:p>
      <w:pPr>
        <w:ind w:left="780"/>
      </w:pPr>
      <w:r>
        <w:t xml:space="preserve">b) bei einer unvermeidbaren alternativen Schädigung unterschiedlicher Rechtsgüter die Bedeutung der Rechtsgüter berücksichtigt, wobei der Schutz menschlichen Lebens die höchste Priorität besitzt, und</w:t>
      </w:r>
    </w:p>
    <w:p>
      <w:pPr>
        <w:ind w:left="780"/>
      </w:pPr>
      <w:r>
        <w:t xml:space="preserve">c) für den Fall einer unvermeidbaren alternativen Gefährdung von Menschenleben keine weitere Gewichtung anhand persönlicher Merkmale vorsieht,</w:t>
      </w:r>
    </w:p>
    <w:p>
      <w:pPr>
        <w:ind w:left="420"/>
      </w:pPr>
      <w:r>
        <w:t xml:space="preserve">3. das Kraftfahrzeug selbstständig in einen risikominimalen Zustand zu versetzen, wenn die Fortsetzung der Fahrt nur durch eine Verletzung des Straßenverkehrsrechts möglich wäre,</w:t>
      </w:r>
    </w:p>
    <w:p>
      <w:pPr>
        <w:ind w:left="420"/>
      </w:pPr>
      <w:r>
        <w:t xml:space="preserve">4. im Fall der Nummer 3 der Technischen Aufsicht selbstständig</w:t>
      </w:r>
    </w:p>
    <w:p>
      <w:pPr>
        <w:ind w:left="780"/>
      </w:pPr>
      <w:r>
        <w:t xml:space="preserve">a) mögliche Fahrmanöver zur Fortsetzung der Fahrt vorzuschlagen sowie</w:t>
      </w:r>
    </w:p>
    <w:p>
      <w:pPr>
        <w:ind w:left="780"/>
      </w:pPr>
      <w:r>
        <w:t xml:space="preserve">b) Daten zur Beurteilung der Situation zu liefern, damit die Technische Aufsicht über eine Freigabe des vorgeschlagenen Fahrmanövers entscheiden kann,</w:t>
      </w:r>
    </w:p>
    <w:p>
      <w:pPr>
        <w:ind w:left="420"/>
      </w:pPr>
      <w:r>
        <w:t xml:space="preserve">5. ein von der Technischen Aufsicht vorgegebenes Fahrmanöver zu überprüfen und dieses nicht auszuführen, sondern das Kraftfahrzeug selbstständig in einen risikominimalen Zustand zu versetzen, wenn das Fahrmanöver am Verkehr teilnehmende oder unbeteiligte Personen gefährden würde,</w:t>
      </w:r>
    </w:p>
    <w:p>
      <w:pPr>
        <w:ind w:left="420"/>
      </w:pPr>
      <w:r>
        <w:t xml:space="preserve">6. eine Beeinträchtigung ihrer Funktionalität der Technischen Aufsicht unverzüglich anzuzeigen,</w:t>
      </w:r>
    </w:p>
    <w:p>
      <w:pPr>
        <w:ind w:left="420"/>
      </w:pPr>
      <w:r>
        <w:t xml:space="preserve">7. ihre Systemgrenzen zu erkennen und beim Erreichen einer Systemgrenze, beim Auftreten einer technischen Störung, die die Ausübung der autonomen Fahrfunktion beeinträchtigt, oder beim Erreichen der Grenzen des festgelegten Betriebsbereichs das Kraftfahrzeug selbstständig in einen risikominimalen Zustand zu versetzen,</w:t>
      </w:r>
    </w:p>
    <w:p>
      <w:pPr>
        <w:ind w:left="420"/>
      </w:pPr>
      <w:r>
        <w:t xml:space="preserve">8. jederzeit durch die Technische Aufsicht oder durch Fahrzeuginsassen deaktiviert zu werden und im Falle einer Deaktivierung das Kraftfahrzeug selbstständig in den risikominimalen Zustand zu versetzen,</w:t>
      </w:r>
    </w:p>
    <w:p>
      <w:pPr>
        <w:ind w:left="420"/>
      </w:pPr>
      <w:r>
        <w:t xml:space="preserve">9. der Technischen Aufsicht das Erfordernis der Freischaltung eines alternativen Fahrmanövers, der Deaktivierung mit ausreichender Zeitreserve sowie Signale zum eigenen Funktionsstatus optisch, akustisch oder sonst wahrnehmbar anzuzeigen und</w:t>
      </w:r>
    </w:p>
    <w:p>
      <w:pPr>
        <w:ind w:left="420"/>
      </w:pPr>
      <w:r>
        <w:t xml:space="preserve">10. ausreichend stabile und vor unautorisierten Eingriffen geschützte Funkverbindungen, insbesondere zur Technischen Aufsicht, sicherzustellen und das Kraftfahrzeug selbstständig in einen risikominimalen Zustand zu versetzen, wenn diese Funkverbindung abbricht oder darauf unerlaubt zugegriffen wird.</w:t>
      </w:r>
    </w:p>
    <w:p>
      <w:r>
        <w:t xml:space="preserve">(3) Zur Erfüllung der Anforderungen nach Absatz 2 Nummer 1 bis 4 ist es im Falle sonstiger Beeinträchtigungen, die dazu führen, dass die technische Ausrüstung die Fahraufgabe nicht selbstständig bewältigen kann, auch ausreichend, wenn</w:t>
      </w:r>
    </w:p>
    <w:p>
      <w:pPr>
        <w:ind w:left="420"/>
      </w:pPr>
      <w:r>
        <w:t xml:space="preserve">1. die technische Ausrüstung in der Lage ist sicherzustellen, dass alternative Fahrmanöver durch die Technische Aufsicht vorgegeben werden können,</w:t>
      </w:r>
    </w:p>
    <w:p>
      <w:pPr>
        <w:ind w:left="420"/>
      </w:pPr>
      <w:r>
        <w:t xml:space="preserve">2. die alternativen Fahrmanöver gemäß Nummer 1 durch die technische Ausrüstung selbstständig ausgeführt werden und</w:t>
      </w:r>
    </w:p>
    <w:p>
      <w:pPr>
        <w:ind w:left="420"/>
      </w:pPr>
      <w:r>
        <w:t xml:space="preserve">3. die technische Ausrüstung in der Lage ist, die Technische Aufsicht mit ausreichender Zeitreserve optisch, akustisch oder sonst wahrnehmbar zur Vorgabe eines Fahrmanövers aufzufordern.</w:t>
      </w:r>
    </w:p>
    <w:p>
      <w:r>
        <w:t xml:space="preserve">(4) Liegen die technischen Voraussetzungen gemäß Absatz 2 und die Erklärung des Herstellers nach § 1f Absatz 3 Nummer 4 vor, erteilt das Kraftfahrt-Bundesamt auf Antrag des Herstellers eine Betriebserlaubnis für ein Kraftfahrzeug mit autonomer Fahrfunktion. Laufende Genehmigungsverfahren, die sachlich unter § 1d bis § 1g fallen und in denen der Antrag auf Erteilung einer Betriebserlaubnis inklusive einer Ausnahmegenehmigung bereits gestellt worden ist, bleiben unberührt.</w:t>
      </w:r>
    </w:p>
    <w:p>
      <w:r>
        <w:t xml:space="preserve">(5) Widerspruch und Anfechtungsklage gegen den Widerruf oder die Rücknahme einer Betriebserlaubnis für ein Kraftfahrzeug mit autonomer Fahrfunktion haben keine aufschiebende Wirkung.</w:t>
      </w:r>
    </w:p>
    <w:p>
      <w:r>
        <w:t xml:space="preserve">(6) Widerspruch und Anfechtungsklage gegen den Widerruf oder die Rücknahme einer Genehmigung eines festgelegten Betriebsbereichs haben keine aufschiebende Wirkung.</w:t>
      </w:r>
    </w:p>
    <w:p>
      <w:r>
        <w:rPr>
          <w:color w:val="555555"/>
          <w:sz w:val="17"/>
        </w:rPr>
        <w:t xml:space="preserve">Zitiervorschlag: § 1e StVG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https://recht.nulegal.eu/gesetze/StVG/1e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