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19a StVG — Ersatzpflicht des Führers von Anhängern und Gespannen</w:t>
      </w:r>
    </w:p>
    <w:p>
      <w:r>
        <w:rPr>
          <w:color w:val="555555"/>
          <w:sz w:val="18"/>
        </w:rPr>
        <w:t xml:space="preserve">Straßenverkehrsgesetz</w:t>
      </w:r>
    </w:p>
    <w:p>
      <w:r>
        <w:rPr>
          <w:color w:val="555555"/>
          <w:sz w:val="18"/>
        </w:rPr>
        <w:t xml:space="preserve">Stand: 17.07.2020 (konsolidierte Textfassung, kein amtliches Inkrafttretensdatum)</w:t>
      </w:r>
    </w:p>
    <w:p>
      <w:r>
        <w:t xml:space="preserve">(1) Der Führer eines Gespanns haftet wie der Führer eines Kraftfahrzeugs. § 18 Absatz 1 und 2 ist entsprechend anzuwenden.</w:t>
      </w:r>
    </w:p>
    <w:p>
      <w:r>
        <w:t xml:space="preserve">(2) Ist in den Fällen des § 19 Absatz 3 und 5 auch der Führer des Gespanns zum Ersatz des Schadens verpflichtet, ist im Verhältnis zu den Haltern und Führern der weiteren beteiligten Kraftfahrzeuge, zu dem Tierhalter oder zu dem Eisenbahnunternehmer § 17 entsprechend anzuwenden. Ist der Führer des Gespanns in den Fällen des § 19 Absatz 2, 3 und 5 zum Ersatz des Schadens verpflichtet, kann er von den Haltern des Zugfahrzeugs und des Anhängers nach § 426 des Bürgerlichen Gesetzbuchs Ausgleich verlangen. Der Ersatz für Schäden des Führers des Gespanns richtet sich im Verhältnis zu den Haltern des Zugfahrzeugs und des Anhängers nach den allgemeinen Vorschriften.</w:t>
      </w:r>
    </w:p>
    <w:p>
      <w:r>
        <w:t xml:space="preserve">(3) Im Fall des § 19 Absatz 6 haftet der Führer eines Anhängers wie der Führer eines Kraftfahrzeugs.</w:t>
      </w:r>
    </w:p>
    <w:p>
      <w:r>
        <w:rPr>
          <w:color w:val="555555"/>
          <w:sz w:val="17"/>
        </w:rPr>
        <w:t xml:space="preserve">Zitiervorschlag: § 19a StVG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https://recht.nulegal.eu/gesetze/StVG/19a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