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StVG — Ersatzpflicht des Fahrzeugführers</w:t>
      </w:r>
    </w:p>
    <w:p>
      <w:r>
        <w:rPr>
          <w:color w:val="555555"/>
          <w:sz w:val="18"/>
        </w:rPr>
        <w:t xml:space="preserve">Straßenverkehrsgesetz</w:t>
      </w:r>
    </w:p>
    <w:p>
      <w:r>
        <w:rPr>
          <w:color w:val="555555"/>
          <w:sz w:val="18"/>
        </w:rPr>
        <w:t xml:space="preserve">Stand: 17.07.2020 (konsolidierte Textfassung, kein amtliches Inkrafttretensdatum)</w:t>
      </w:r>
    </w:p>
    <w:p>
      <w:r>
        <w:t xml:space="preserve">(1) In den Fällen des § 7 Abs. 1 ist auch der Führer des Kraftfahrzeugs zum Ersatz des Schadens nach den Vorschriften der §§ 8 bis 15 verpflichtet. Die Ersatzpflicht ist ausgeschlossen, wenn der Schaden nicht durch ein Verschulden des Führers verursacht ist.</w:t>
      </w:r>
    </w:p>
    <w:p>
      <w:r>
        <w:t xml:space="preserve">(2) Die Vorschrift des § 16 findet entsprechende Anwendung.</w:t>
      </w:r>
    </w:p>
    <w:p>
      <w:r>
        <w:t xml:space="preserve">(3) Ist in den Fällen des § 17 auch der Führer eines Kraftfahrzeugs zum Ersatz des Schadens verpflichtet, so sind auf diese Verpflichtung in seinem Verhältnis zu den Haltern und Führern der anderen beteiligten Kraftfahrzeuge, zu dem Tierhalter oder Eisenbahnunternehmer die Vorschriften des § 17 entsprechend anzuwenden.</w:t>
      </w:r>
    </w:p>
    <w:p>
      <w:r>
        <w:rPr>
          <w:color w:val="555555"/>
          <w:sz w:val="17"/>
        </w:rPr>
        <w:t xml:space="preserve">Zitiervorschlag: § 18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