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StVFernLV — Widerruf der Betriebsbereichsgenehmigung für ein ferngelenktes Kraftfahrzeug</w:t>
      </w:r>
    </w:p>
    <w:p>
      <w:r>
        <w:rPr>
          <w:color w:val="555555"/>
          <w:sz w:val="18"/>
        </w:rPr>
        <w:t xml:space="preserve">Straßenverkehr-Fernlenk-Verordnung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(1) Die zuständige Behörde hat die nach § 7 Absatz 2 erteilte Betriebsbereichsgenehmigung zu widerrufen, wenn sie davon Kenntnis erlangt, dass</w:t>
      </w:r>
    </w:p>
    <w:p>
      <w:pPr>
        <w:ind w:left="420"/>
      </w:pPr>
      <w:r>
        <w:t xml:space="preserve">1. die Voraussetzungen nach § 7 Absatz 2 nicht oder nicht mehr erfüllt werden,</w:t>
      </w:r>
    </w:p>
    <w:p>
      <w:pPr>
        <w:ind w:left="420"/>
      </w:pPr>
      <w:r>
        <w:t xml:space="preserve">2. Nebenbestimmungen nach § 7 Absatz 3 nicht oder nicht mehr erfüllt werden,</w:t>
      </w:r>
    </w:p>
    <w:p>
      <w:pPr>
        <w:ind w:left="420"/>
      </w:pPr>
      <w:r>
        <w:t xml:space="preserve">3. das ferngelenkte Kraftfahrzeug außerhalb des Betriebsbereichs auf öffentlichen Straßen ferngelenkt wird,</w:t>
      </w:r>
    </w:p>
    <w:p>
      <w:pPr>
        <w:ind w:left="420"/>
      </w:pPr>
      <w:r>
        <w:t xml:space="preserve">4. keine hinreichende Zahl an fernlenkenden Personen mehr zur Verfügung steht, die die Anforderungen nach § 10 erfüllen,</w:t>
      </w:r>
    </w:p>
    <w:p>
      <w:pPr>
        <w:ind w:left="420"/>
      </w:pPr>
      <w:r>
        <w:t xml:space="preserve">5. eine Person eingesetzt wird, die die Anforderungen nach § 10 nicht oder nicht mehr erfüllt,</w:t>
      </w:r>
    </w:p>
    <w:p>
      <w:pPr>
        <w:ind w:left="420"/>
      </w:pPr>
      <w:r>
        <w:t xml:space="preserve">6. der Halter die Pflichten nach § 14 nicht oder nicht mehr erfüllt, oder</w:t>
      </w:r>
    </w:p>
    <w:p>
      <w:pPr>
        <w:ind w:left="420"/>
      </w:pPr>
      <w:r>
        <w:t xml:space="preserve">7. durch den Betrieb des ferngelenkten Kraftfahrzeugs</w:t>
      </w:r>
    </w:p>
    <w:p>
      <w:pPr>
        <w:ind w:left="780"/>
      </w:pPr>
      <w:r>
        <w:t xml:space="preserve">a) die Sicherheit und Leichtigkeit des Straßenverkehrs beeinträchtigt werden kann oder</w:t>
      </w:r>
    </w:p>
    <w:p>
      <w:pPr>
        <w:ind w:left="780"/>
      </w:pPr>
      <w:r>
        <w:t xml:space="preserve">b) eine Gefährdung von Leib oder Leben von Personen nicht auszuschließen ist, die über das allgemeine Risiko einer Beeinträchtigung durch den für den genehmigten Betriebsbereich ortsüblichen Straßenverkehr hinaus geht.</w:t>
      </w:r>
    </w:p>
    <w:p>
      <w:r>
        <w:t xml:space="preserve">(2) Wenn die Anforderungen der Anlage 2 vorübergehend nicht erfüllt sind und der Halter nicht nachweist, dass ein sicherer Betrieb des ferngelenkten Kraftfahrzeugs weiterhin gewährleistet ist, kann die zuständige Behörde das Ruhen einer nach § 7 Absatz 2 erteilten Betriebsbereichsgenehmigung anordnen.</w:t>
      </w:r>
    </w:p>
    <w:p>
      <w:r>
        <w:t xml:space="preserve">(3) Wenn die nach § 7 Absatz 2 erteilte Betriebsbereichsgenehmigung nach Absatz 1 widerrufen worden ist oder aufgrund einer Anordnung nach Absatz 2 ruht, darf das ferngelenkte Kraftfahrzeug auf öffentlichen Straßen nicht betrieben werden.</w:t>
      </w:r>
    </w:p>
    <w:p>
      <w:r>
        <w:t xml:space="preserve">(4) Über das Ruhen oder den Widerruf einer Betriebsbereichsgenehmigung setzt die zuständige Behörde das Kraftfahrt-Bundesamt unverzüglich in Kenntnis.</w:t>
      </w:r>
    </w:p>
    <w:p>
      <w:r>
        <w:t xml:space="preserve">(5) Die den §§ 48 und 49 des Verwaltungsverfahrensgesetzes entsprechenden landesrechtlichen Vorschriften bleiben unberührt.</w:t>
      </w:r>
    </w:p>
    <w:p>
      <w:r>
        <w:rPr>
          <w:color w:val="555555"/>
          <w:sz w:val="17"/>
        </w:rPr>
        <w:t xml:space="preserve">Zitiervorschlag: § 9 StVFernLV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https://recht.nulegal.eu/gesetze/StVFernLV/9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