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StVFernLV — Betriebsbereichsgenehmigung für ein ferngelenktes Kraftfahrzeug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Der Betriebsbereich eines bestimmten ferngelenkten Kraftfahrzeugs bedarf der Betriebsbereichsgenehmigung durch die zuständige Behörde.</w:t>
      </w:r>
    </w:p>
    <w:p>
      <w:r>
        <w:t xml:space="preserve">(2) Die Betriebsbereichsgenehmigung ist zu erteilen, wenn</w:t>
      </w:r>
    </w:p>
    <w:p>
      <w:pPr>
        <w:ind w:left="420"/>
      </w:pPr>
      <w:r>
        <w:t xml:space="preserve">1. eine Betriebserlaubnis für das betreffende ferngelenkte Kraftfahrzeug nach § 4 Absatz 1 vorliegt,</w:t>
      </w:r>
    </w:p>
    <w:p>
      <w:pPr>
        <w:ind w:left="420"/>
      </w:pPr>
      <w:r>
        <w:t xml:space="preserve">2. der Betriebsbereich geeignet ist im Sinne der Anlage 2 Nummer 2, wobei Eignungsmängel, die lediglich im Falle höherer Gewalt oder außergewöhnlicher Umstände zutage treten, außer Betracht bleiben,</w:t>
      </w:r>
    </w:p>
    <w:p>
      <w:pPr>
        <w:ind w:left="420"/>
      </w:pPr>
      <w:r>
        <w:t xml:space="preserve">3. eine für den Betrieb des betreffenden ferngelenkten Kraftfahrzeugs hinreichende Zahl an fernlenkenden Personen zur Verfügung steht, die die Anforderungen nach § 10 erfüllen,</w:t>
      </w:r>
    </w:p>
    <w:p>
      <w:pPr>
        <w:ind w:left="420"/>
      </w:pPr>
      <w:r>
        <w:t xml:space="preserve">4. der Hersteller der technischen Ausrüstung zum Fernlenken die Pflichten nach § 13 erfüllt hat,</w:t>
      </w:r>
    </w:p>
    <w:p>
      <w:pPr>
        <w:ind w:left="420"/>
      </w:pPr>
      <w:r>
        <w:t xml:space="preserve">5. der Halter Gewähr für die Erfüllung der Pflichten nach § 14 bietet und</w:t>
      </w:r>
    </w:p>
    <w:p>
      <w:pPr>
        <w:ind w:left="420"/>
      </w:pPr>
      <w:r>
        <w:t xml:space="preserve">6. der Halter die nach § 8 Absatz 2 beizubringenden weiteren Unterlagen, Nachweise und Erklärungen vorlegt.</w:t>
      </w:r>
    </w:p>
    <w:p>
      <w:r>
        <w:t xml:space="preserve">Vor Erteilung der Betriebsbereichsgenehmigung ist das Benehmen mit dem jeweiligen Träger der Straßenbaulast sowie mit der zuständigen Straßenverkehrsbehörde herzustellen.</w:t>
      </w:r>
    </w:p>
    <w:p>
      <w:r>
        <w:t xml:space="preserve">(3) Die Betriebsbereichsgenehmigung kann jederzeit mit Nebenbestimmungen versehen werden, um die Einhaltung der Voraussetzungen nach Absatz 2 zu gewährleisten. Insbesondere kann die Betriebsbereichsgenehmigung mit der Auflage verbunden werden, für einen bestimmten Zeitraum einen Sicherheitsfahrer einzusetzen oder keine Personenbeförderung oder keinen Gütertransport vorzunehmen.</w:t>
      </w:r>
    </w:p>
    <w:p>
      <w:r>
        <w:t xml:space="preserve">(4) Die Betriebsbereichsgenehmigung wird unbeschadet der Rechte anderer erteilt. Die Betriebsbereichsgenehmigung gewährt keinen Anspruch darauf, dass der Betriebsbereich verfügbar ist oder die tatsächlichen Gegebenheiten, die der Betriebsbereichsgenehmigung zugrunde lagen, sich nicht verändern.</w:t>
      </w:r>
    </w:p>
    <w:p>
      <w:r>
        <w:t xml:space="preserve">(5) Die zuständige Behörde kann eine der in § 4 Absatz 5 genannten Stellen beauftragen, einen Betriebsbereich daraufhin zu begutachten, ob die in Absatz 2 Satz 1 Nummer 2 genannten Voraussetzungen vorliegen. Die zuständige Behörde kann verlangen, dass der Halter auf eigene Kosten ein Gutachten einer der in § 4 Absatz 5 genannten Stellen über das Vorliegen der in Absatz 2 Satz 1 Nummer 2 genannten Voraussetzungen vorlegt.</w:t>
      </w:r>
    </w:p>
    <w:p>
      <w:r>
        <w:t xml:space="preserve">(6) Über die Erteilung einer Betriebsbereichsgenehmigung setzt die zuständige Behörde das Kraftfahrt-Bundesamt unverzüglich in Kenntnis.</w:t>
      </w:r>
    </w:p>
    <w:p>
      <w:r>
        <w:rPr>
          <w:color w:val="555555"/>
          <w:sz w:val="17"/>
        </w:rPr>
        <w:t xml:space="preserve">Zitiervorschlag: § 7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