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StVFernLV — Widerruf der Betriebserlaubnis für ein ferngelenktes Kraftfahrzeug</w:t>
      </w:r>
    </w:p>
    <w:p>
      <w:r>
        <w:rPr>
          <w:color w:val="555555"/>
          <w:sz w:val="18"/>
        </w:rPr>
        <w:t xml:space="preserve">Straßenverkehr-Fernlenk-Verordnung</w:t>
      </w:r>
    </w:p>
    <w:p>
      <w:r>
        <w:rPr>
          <w:color w:val="555555"/>
          <w:sz w:val="18"/>
        </w:rPr>
        <w:t xml:space="preserve">Stand: 01.12.2025 (konsolidierte Textfassung, kein amtliches Inkrafttretensdatum)</w:t>
      </w:r>
    </w:p>
    <w:p>
      <w:r>
        <w:t xml:space="preserve">(1) Das Kraftfahrt-Bundesamt hat die nach § 4 Absatz 1 erteilte Betriebserlaubnis für ein ferngelenktes Kraftfahrzeug zu widerrufen, wenn</w:t>
      </w:r>
    </w:p>
    <w:p>
      <w:pPr>
        <w:ind w:left="420"/>
      </w:pPr>
      <w:r>
        <w:t xml:space="preserve">1. das Gesamtsystem zum Fernlenken die Anforderungen nach Anlage 1 nicht mehr erfüllt,</w:t>
      </w:r>
    </w:p>
    <w:p>
      <w:pPr>
        <w:ind w:left="420"/>
      </w:pPr>
      <w:r>
        <w:t xml:space="preserve">2. das Gesamtsystem zum Fernlenken entgegen § 4 Absatz 7 verändert worden ist,</w:t>
      </w:r>
    </w:p>
    <w:p>
      <w:pPr>
        <w:ind w:left="420"/>
      </w:pPr>
      <w:r>
        <w:t xml:space="preserve">3. der Halter Nebenbestimmungen nach § 4 Absatz 4 nicht oder nicht mehr erfüllt,</w:t>
      </w:r>
    </w:p>
    <w:p>
      <w:pPr>
        <w:ind w:left="420"/>
      </w:pPr>
      <w:r>
        <w:t xml:space="preserve">4. der Halter das Forschungsvorhaben nach § 4 Absatz 8 nicht oder nicht mehr durchführt,</w:t>
      </w:r>
    </w:p>
    <w:p>
      <w:pPr>
        <w:ind w:left="420"/>
      </w:pPr>
      <w:r>
        <w:t xml:space="preserve">5. der Halter Daten oder technische Spezifikationen, die für die Entscheidung des Kraftfahrt-Bundesamts über die Erteilung der Betriebserlaubnis für ein ferngelenktes Kraftfahrzeug oder deren Widerruf wesentlich sind, zurückhält oder über diese falsche Angaben macht oder</w:t>
      </w:r>
    </w:p>
    <w:p>
      <w:pPr>
        <w:ind w:left="420"/>
      </w:pPr>
      <w:r>
        <w:t xml:space="preserve">6. durch den Betrieb des ferngelenkten Kraftfahrzeugs die Sicherheit und Leichtigkeit des Straßenverkehrs beeinträchtigt werden kann oder eine Gefährdung von Leib oder Leben von Personen nicht auszuschließen ist.</w:t>
      </w:r>
    </w:p>
    <w:p>
      <w:r>
        <w:t xml:space="preserve">(2) Besteht die begründete Annahme, dass ein Widerrufsgrund nach Absatz 1 vorliegt, kann das Kraftfahrt-Bundesamt unbeschadet der Befugnis nach § 5 Absatz 4 geeignete Maßnahmen anordnen, die der weiteren Aufklärung dienlich sind, insbesondere das Beibringen von Unterlagen oder die Vorstellung des ferngelenkten Kraftfahrzeugs beim Kraftfahrt-Bundesamt oder bei einer nach § 4 Absatz 5 genannten Stelle. Bis zum Abschluss der Prüfung, ob ein Widerrufsgrund nach Absatz 1 vorliegt, kann das Kraftfahrt-Bundesamt das Ruhen der Betriebserlaubnis anordnen.</w:t>
      </w:r>
    </w:p>
    <w:p>
      <w:r>
        <w:t xml:space="preserve">(3) Wenn die nach § 4 Absatz 1 erteilte Betriebserlaubnis widerrufen worden ist oder aufgrund einer Anordnung nach Absatz 2 Satz 2 ruht, darf das ferngelenkte Kraftfahrzeug auf öffentlichen Straßen nicht betrieben werden.</w:t>
      </w:r>
    </w:p>
    <w:p>
      <w:r>
        <w:t xml:space="preserve">(4) Wenn für das ferngelenkte Kraftfahrzeug eine Betriebsbereichsgenehmigung nach § 7 Absatz 2 erteilt worden ist, setzt das Kraftfahrt-Bundesamt die zuständige Behörde nach § 7 Absatz 1 über das Ruhen oder den Widerruf der nach § 4 Absatz 1 erteilten Betriebserlaubnis für das ferngelenkte Kraftfahrzeug unverzüglich in Kenntnis.</w:t>
      </w:r>
    </w:p>
    <w:p>
      <w:r>
        <w:t xml:space="preserve">(5) Die §§ 48 und 49 des Verwaltungsverfahrensgesetzes bleiben unberührt.</w:t>
      </w:r>
    </w:p>
    <w:p>
      <w:r>
        <w:rPr>
          <w:color w:val="555555"/>
          <w:sz w:val="17"/>
        </w:rPr>
        <w:t xml:space="preserve">Zitiervorschlag: § 6 StVFernLV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https://recht.nulegal.eu/gesetze/StVFernLV/6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