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StVFernLV — Begriffsbestimmungen</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Ein Kraftfahrzeug mit ferngelenkter Fahrfunktion (ferngelenktes Kraftfahrzeug) ist ein Kraftfahrzeug, das mittels einer technischen Ausrüstung zum Fernlenken durch eine Person gelenkt wird, die sich außerhalb des Kraftfahrzeugs befindet.</w:t>
      </w:r>
    </w:p>
    <w:p>
      <w:r>
        <w:t xml:space="preserve">(2) Das Fernlenken ist das Führen eines Kraftfahrzeugs im Sinne des Straßenverkehrsgesetzes durch eine außerhalb des Kraftfahrzeugs befindliche natürliche Person mittels einer technischen Ausrüstung zum Fernlenken.</w:t>
      </w:r>
    </w:p>
    <w:p>
      <w:r>
        <w:t xml:space="preserve">(3) Die technische Ausrüstung zum Fernlenken besteht aus dem Leitstand und den innerhalb des Kraftfahrzeugs befindlichen Bauteilen und Systemen, die die Führung des Kraftfahrzeugs durch eine sich außerhalb des Kraftfahrzeugs befindliche fernlenkende Person ermöglichen.</w:t>
      </w:r>
    </w:p>
    <w:p>
      <w:r>
        <w:t xml:space="preserve">(4) Der Leitstand ist die Gesamtheit der außerhalb des Kraftfahrzeugs befindlichen Bauteile und Systeme, die der fernlenkenden Person die Führung des Kraftfahrzeugs ermöglicht.</w:t>
      </w:r>
    </w:p>
    <w:p>
      <w:r>
        <w:t xml:space="preserve">(5) Das Gesamtsystem zum Fernlenken ist die Gesamtheit aus technischer Ausrüstung zum Fernlenken und dem damit ausgestatteten Kraftfahrzeug, für das die technische Ausrüstung zum Fernlenken bestimmt ist.</w:t>
      </w:r>
    </w:p>
    <w:p>
      <w:r>
        <w:t xml:space="preserve">(6) Der Fahrtverzug ist die in Metern gemessene Strecke, die das ferngelenkte Kraftfahrzeug aufgrund der Latenz der Datenübertragung zwischen ferngelenktem Kraftfahrzeug und Leitstand ohne Kontrolle durch die fernlenkende Person zurücklegt.</w:t>
      </w:r>
    </w:p>
    <w:p>
      <w:r>
        <w:t xml:space="preserve">(7) Ein risikominimaler Zustand eines ferngelenkten Kraftfahrzeugs ist ein Zustand im Stillstand, in den sich das ferngelenkte Kraftfahrzeug auf eigene Veranlassung oder ausgelöst durch die das Kraftfahrzeug fernlenkende Person, unter angemessener Beachtung der Verkehrssituation und der größtmöglichen Sicherheit für die Fahrzeuginsassen, andere Verkehrsteilnehmende und Dritte an einer möglichst sicheren Stelle versetzt und die Warnblinkanlage aktiviert.</w:t>
      </w:r>
    </w:p>
    <w:p>
      <w:r>
        <w:rPr>
          <w:color w:val="555555"/>
          <w:sz w:val="17"/>
        </w:rPr>
        <w:t xml:space="preserve">Zitiervorschlag: § 2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