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StVFernLV — Maßgaben zur Anwendung der Fahrzeug-Zulassungsverordnung</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Für die Zulassung eines ferngelenkten Kraftfahrzeugs zum Verkehr auf öffentlichen Straßen in einem genehmigten Betriebsbereich ist die Fahrzeug-Zulassungsverordnung nach Maßgabe der folgenden Absätze anzuwenden.</w:t>
      </w:r>
    </w:p>
    <w:p>
      <w:r>
        <w:t xml:space="preserve">(2) Die Zulassung eines ferngelenkten Kraftfahrzeugs wird erteilt, wenn ergänzend zu den in § 3 Absatz 1 Satz 2 der Fahrzeug-Zulassungsverordnung genannten Voraussetzungen</w:t>
      </w:r>
    </w:p>
    <w:p>
      <w:pPr>
        <w:ind w:left="420"/>
      </w:pPr>
      <w:r>
        <w:t xml:space="preserve">1. eine Betriebserlaubnis für das ferngelenkte Kraftfahrzeug nach § 4 Absatz 1 vorliegt,</w:t>
      </w:r>
    </w:p>
    <w:p>
      <w:pPr>
        <w:ind w:left="420"/>
      </w:pPr>
      <w:r>
        <w:t xml:space="preserve">2. eine Betriebsbereichsgenehmigung nach § 7 Absatz 2 vorliegt und</w:t>
      </w:r>
    </w:p>
    <w:p>
      <w:pPr>
        <w:ind w:left="420"/>
      </w:pPr>
      <w:r>
        <w:t xml:space="preserve">3. die Kraftfahrzeug-Haftpflichtversicherung auch die Haftpflicht der fernlenkenden Person deckt.</w:t>
      </w:r>
    </w:p>
    <w:p>
      <w:r>
        <w:t xml:space="preserve">(3) Mit dem Antrag auf Zulassung eines ferngelenkten Kraftfahrzeugs nach § 6 der Fahrzeug-Zulassungsverordnung sind die Betriebserlaubnis für ein ferngelenktes Kraftfahrzeug nach § 4 Absatz 1 und die Betriebsbereichsgenehmigung nach § 7 Absatz 2 vorzulegen. § 3 Absatz 3 und 4 der Fahrzeug-Zulassungsverordnung ist nicht anzuwenden.</w:t>
      </w:r>
    </w:p>
    <w:p>
      <w:r>
        <w:t xml:space="preserve">(4) Die Zulassung des ferngelenkten Kraftfahrzeugs ist auf den genehmigten Betriebsbereich zu beschränken. Diese Beschränkung ist durch Angabe der Betriebsbereichsgenehmigung, der ausstellenden Behörde und des Datums der Ausstellung in die Zulassungsbescheinigung Teil I nach § 13 der Fahrzeug-Zulassungsverordnung einzutragen. Ebenso sind in die Zulassungsbescheinigung Teil I die Betriebserlaubnis für ein ferngelenktes Kraftfahrzeug nach § 4 Absatz 1 mit dem Datum der Ausstellung durch das Kraftfahrt-Bundesamt sowie weitere Angaben zu der technischen Ausrüstung zum Fernlenken einzutragen.</w:t>
      </w:r>
    </w:p>
    <w:p>
      <w:r>
        <w:t xml:space="preserve">(5) Abweichend von § 13 Absatz 6 der Fahrzeug-Zulassungsverordnung genügt es, wenn die Zulassungsbescheinigung Teil I aufbewahrt und den berechtigten Personen auf Verlangen zur Prüfung zugänglich gemacht wird.</w:t>
      </w:r>
    </w:p>
    <w:p>
      <w:r>
        <w:t xml:space="preserve">(6) Ergänzend zu § 15 Absatz 5 Satz 4 oder zu § 16 Absatz 2 Satz 1 der Fahrzeug-Zulassungsverordnung hat der Halter die Betriebsbereichsgenehmigung nach § 7 Absatz 2 vorzulegen.</w:t>
      </w:r>
    </w:p>
    <w:p>
      <w:r>
        <w:t xml:space="preserve">(7) Die Verfahren nach Abschnitt 3 Unterabschnitt 3 der Fahrzeug-Zulassungsverordnung sind nicht anzuwenden.</w:t>
      </w:r>
    </w:p>
    <w:p>
      <w:r>
        <w:t xml:space="preserve">(8) Die Zulassungsbehörde hat der Behörde, die die Betriebsbereichsgenehmigung erteilt hat, unverzüglich jede Zulassung, Wiederzulassung, Umschreibung und Außerbetriebsetzung eines ferngelenkten Kraftfahrzeugs mitzuteilen.</w:t>
      </w:r>
    </w:p>
    <w:p>
      <w:r>
        <w:t xml:space="preserve">(9) Besteht für ein zugelassenes ferngelenktes Kraftfahrzeug keine Betriebsbereichsgenehmigung nach § 7 Absatz 2 mehr, so hat der Halter unverzüglich das ferngelenkte Kraftfahrzeug nach Maßgabe des § 16 Absatz 1 der Fahrzeug-Zulassungsverordnung, auch in Verbindung mit § 24 der Fahrzeug-Zulassungsverordnung, außer Betrieb setzen zu lassen.</w:t>
      </w:r>
    </w:p>
    <w:p>
      <w:r>
        <w:rPr>
          <w:color w:val="555555"/>
          <w:sz w:val="17"/>
        </w:rPr>
        <w:t xml:space="preserve">Zitiervorschlag: § 16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