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StVFernLV — Pflichten des Halters</w:t>
      </w:r>
    </w:p>
    <w:p>
      <w:r>
        <w:rPr>
          <w:color w:val="555555"/>
          <w:sz w:val="18"/>
        </w:rPr>
        <w:t xml:space="preserve">Straßenverkehr-Fernlenk-Verordnung</w:t>
      </w:r>
    </w:p>
    <w:p>
      <w:r>
        <w:rPr>
          <w:color w:val="555555"/>
          <w:sz w:val="18"/>
        </w:rPr>
        <w:t xml:space="preserve">Stand: 01.12.2025 (konsolidierte Textfassung, kein amtliches Inkrafttretensdatum)</w:t>
      </w:r>
    </w:p>
    <w:p>
      <w:r>
        <w:t xml:space="preserve">(1) Der Halter ist zur Erhaltung der Verkehrssicherheit und der Umweltverträglichkeit des ferngelenkten Kraftfahrzeugs verpflichtet und hat die hierfür erforderlichen Vorkehrungen zu treffen. Er hat</w:t>
      </w:r>
    </w:p>
    <w:p>
      <w:pPr>
        <w:ind w:left="420"/>
      </w:pPr>
      <w:r>
        <w:t xml:space="preserve">1. die regelmäßige Wartung des Gesamtsystems zum Fernlenken sicherzustellen, insbesondere muss er</w:t>
      </w:r>
    </w:p>
    <w:p>
      <w:pPr>
        <w:ind w:left="780"/>
      </w:pPr>
      <w:r>
        <w:t xml:space="preserve">a) sicherstellen, dass Anweisungen zur ordnungsgemäßen Durchführung der Reparaturarbeiten und Wartungsarbeiten befolgt werden und</w:t>
      </w:r>
    </w:p>
    <w:p>
      <w:pPr>
        <w:ind w:left="780"/>
      </w:pPr>
      <w:r>
        <w:t xml:space="preserve">b) Berichte über die Durchführung von Reparaturarbeiten und Wartungsarbeiten unverzüglich erstellen und unterzeichnen,</w:t>
      </w:r>
    </w:p>
    <w:p>
      <w:pPr>
        <w:ind w:left="420"/>
      </w:pPr>
      <w:r>
        <w:t xml:space="preserve">2. sicherzustellen, dass die fernlenkende Person während des Fernlenkens eines ferngelenkten Kraftfahrzeugs</w:t>
      </w:r>
    </w:p>
    <w:p>
      <w:pPr>
        <w:ind w:left="780"/>
      </w:pPr>
      <w:r>
        <w:t xml:space="preserve">a) nicht zeitgleich ein weiteres Kraftfahrzeug führt,</w:t>
      </w:r>
    </w:p>
    <w:p>
      <w:pPr>
        <w:ind w:left="780"/>
      </w:pPr>
      <w:r>
        <w:t xml:space="preserve">b) die geltenden Bestimmungen für Lenk- und Ruhezeiten einhält und</w:t>
      </w:r>
    </w:p>
    <w:p>
      <w:pPr>
        <w:ind w:left="780"/>
      </w:pPr>
      <w:r>
        <w:t xml:space="preserve">c) keine gefährlichen Güter im Sinne des Gefahrgutbeförderungsgesetz befördert und</w:t>
      </w:r>
    </w:p>
    <w:p>
      <w:pPr>
        <w:ind w:left="420"/>
      </w:pPr>
      <w:r>
        <w:t xml:space="preserve">3. Vorkehrungen dafür zu treffen, dass die sonstigen nicht an die Fahrzeugführung gerichteten Verkehrsvorschriften eingehalten werden.</w:t>
      </w:r>
    </w:p>
    <w:p>
      <w:r>
        <w:t xml:space="preserve">(2) Die Anforderungen zur Dokumentenverwaltung für die Anweisungen nach Absatz 1 Satz 2 Nummer 1 Buchstabe a und die Berichte nach Absatz 1 Satz 2 Nummer 1 Buchstabe b müssen dem Stand der Technik entsprechen. Der Stand der Technik wird eingehalten, wenn die Vorgaben der ISO 9001:2015-09 Qualitätsmanagementsysteme – Grundlagen und Begriffe erfüllt sind. Darüber hinaus muss die Dokumentenverwaltung den Vorgaben der Artikel 24, 25 und 32 der Datenschutz-Grundverordnung genügen.</w:t>
      </w:r>
    </w:p>
    <w:p>
      <w:r>
        <w:t xml:space="preserve">(3) Der Halter hat sicherzustellen, dass täglich vor Betriebsbeginn des ferngelenkten Kraftfahrzeugs eine erweiterte Abfahrkontrolle durchgeführt wird. Die erweiterte Abfahrkontrolle umfasst</w:t>
      </w:r>
    </w:p>
    <w:p>
      <w:pPr>
        <w:ind w:left="420"/>
      </w:pPr>
      <w:r>
        <w:t xml:space="preserve">1. eine Sichtprüfung der Kontrollleuchten für sicherheitsrelevante elektronisch geregelte Fahrzeugsysteme, insbesondere für die Bremsanlage, die Lenkanlage, die Lichtanlage, die Reifen und Räder, das Fahrwerk, sowie der Sensorik zur Erfassung externer und interner Parameter,</w:t>
      </w:r>
    </w:p>
    <w:p>
      <w:pPr>
        <w:ind w:left="420"/>
      </w:pPr>
      <w:r>
        <w:t xml:space="preserve">2. eine Funktionsprüfung der bildaufnehmenden Einrichtungen und</w:t>
      </w:r>
    </w:p>
    <w:p>
      <w:pPr>
        <w:ind w:left="420"/>
      </w:pPr>
      <w:r>
        <w:t xml:space="preserve">3. eine Funktionsprüfung der Audioübertragung.</w:t>
      </w:r>
    </w:p>
    <w:p>
      <w:r>
        <w:t xml:space="preserve">(4) Der Halter hat für das ferngelenkte Kraftfahrzeug eine Hauptuntersuchung nach Maßgabe der Anlage VIII in Verbindung mit Anlage VIIIa der Straßenverkehrs-Zulassungs-Ordnung zu veranlassen. Abweichend von § 29 Absatz 1 in Verbindung mit Anlage VIII Nummer 2 der Straßenverkehrs-Zulassungs-Ordnung betragen die Zeitabstände für die Hauptuntersuchung sechs Monate ab dem Zeitpunkt der Zulassung des ferngelenkten Kraftfahrzeugs.</w:t>
      </w:r>
    </w:p>
    <w:p>
      <w:r>
        <w:rPr>
          <w:color w:val="555555"/>
          <w:sz w:val="17"/>
        </w:rPr>
        <w:t xml:space="preserve">Zitiervorschlag: § 14 StVFernLV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https://recht.nulegal.eu/gesetze/StVFernLV/14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