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StVFernLV — Pflichten des Herstellers der technischen Ausrüstung zum Fernlenken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Der Hersteller der technischen Ausrüstung zum Fernlenken hat</w:t>
      </w:r>
    </w:p>
    <w:p>
      <w:pPr>
        <w:ind w:left="420"/>
      </w:pPr>
      <w:r>
        <w:t xml:space="preserve">1. ein Sicherheitskonzept zur funktionalen Sicherheit für das Gesamtsystem zum Fernlenken nach Anlage 1 Nummer 1.1 zu erstellen,</w:t>
      </w:r>
    </w:p>
    <w:p>
      <w:pPr>
        <w:ind w:left="420"/>
      </w:pPr>
      <w:r>
        <w:t xml:space="preserve">2. Reparatur- und Wartungsinformationen für das Gesamtsystem zum Fernlenken nach Anlage 1 Nummer 1.2 zu erstellen,</w:t>
      </w:r>
    </w:p>
    <w:p>
      <w:pPr>
        <w:ind w:left="420"/>
      </w:pPr>
      <w:r>
        <w:t xml:space="preserve">3. ein Konzept zur Sicherheit im Bereich der Informationstechnologie nach Anlage 1 Nummer 3.10 zu erstellen und</w:t>
      </w:r>
    </w:p>
    <w:p>
      <w:pPr>
        <w:ind w:left="420"/>
      </w:pPr>
      <w:r>
        <w:t xml:space="preserve">4. für die Datenverarbeitung nach § 15 ein Sicherheitskonzept zu erstellen, das den Vorgaben der Artikel 24, 25 und 32 der Verordnung (EU) 2016/679 (Datenschutz-Grundverordnung) entspricht und eine Datenschutz-Folgenabschätzung nach Artikel 35 der Datenschutz-Grundverordnung beinhaltet.</w:t>
      </w:r>
    </w:p>
    <w:p>
      <w:r>
        <w:t xml:space="preserve">(2) Der Hersteller der technischen Ausrüstung zum Fernlenken hat die Dokumente nach Absatz 1 Nummer 1 bis 4 dem Halter zur Verfügung zu stellen.</w:t>
      </w:r>
    </w:p>
    <w:p>
      <w:r>
        <w:rPr>
          <w:color w:val="555555"/>
          <w:sz w:val="17"/>
        </w:rPr>
        <w:t xml:space="preserve">Zitiervorschlag: § 13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