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StVFernLV — Sicherstellungspflichten des Halters in Bezug auf die Anforderungen an die fernlenkende Person</w:t>
      </w:r>
    </w:p>
    <w:p>
      <w:r>
        <w:rPr>
          <w:color w:val="555555"/>
          <w:sz w:val="18"/>
        </w:rPr>
        <w:t xml:space="preserve">Straßenverkehr-Fernlenk-Verordnung</w:t>
      </w:r>
    </w:p>
    <w:p>
      <w:r>
        <w:rPr>
          <w:color w:val="555555"/>
          <w:sz w:val="18"/>
        </w:rPr>
        <w:t xml:space="preserve">Stand: 01.12.2025 (konsolidierte Textfassung, kein amtliches Inkrafttretensdatum)</w:t>
      </w:r>
    </w:p>
    <w:p>
      <w:r>
        <w:t xml:space="preserve">(1) Der Halter hat sicherzustellen und zu dokumentieren, dass ihm eine für den Betrieb eines ferngelenkten Kraftfahrzeugs hinreichende Zahl an fernlenkenden Personen zur Verfügung steht, die die Anforderungen an das Fernlenken von Kraftfahrzeugen nach § 10 Absatz 1 erfüllen. Die Befugnisse der zuständigen Behörde nach § 3 der Fahrerlaubnis-Verordnung bleiben hiervon unberührt.</w:t>
      </w:r>
    </w:p>
    <w:p>
      <w:r>
        <w:t xml:space="preserve">(2) Der Halter ist verpflichtet, die Durchführung der Schulung nach § 10 Absatz 2 zu dokumentieren.</w:t>
      </w:r>
    </w:p>
    <w:p>
      <w:r>
        <w:t xml:space="preserve">(3) Der Halter hat der für die Genehmigung des Betriebsbereichs zuständigen Behörde auf Anforderung die Dokumentation gemäß Absatz 1 Satz 1 einschließlich der von der jeweiligen fernlenkenden Person hierzu ihm gegenüber erbrachten Nachweise nach § 10 Absatz 1 vorzulegen.</w:t>
      </w:r>
    </w:p>
    <w:p>
      <w:r>
        <w:t xml:space="preserve">(4) Der Halter hat</w:t>
      </w:r>
    </w:p>
    <w:p>
      <w:pPr>
        <w:ind w:left="420"/>
      </w:pPr>
      <w:r>
        <w:t xml:space="preserve">1. die Handlungssicherheit der fernlenkenden Person durch eine Begleitung, Aufzeichnung oder sonstige Kontrolle von Fahrten oder von Prüffahrten auf einem Fahrsimulator regelmäßig zu überprüfen,</w:t>
      </w:r>
    </w:p>
    <w:p>
      <w:pPr>
        <w:ind w:left="420"/>
      </w:pPr>
      <w:r>
        <w:t xml:space="preserve">2. die fernlenkende Person bei technischen oder betrieblichen Veränderungen weiterzubilden und</w:t>
      </w:r>
    </w:p>
    <w:p>
      <w:pPr>
        <w:ind w:left="420"/>
      </w:pPr>
      <w:r>
        <w:t xml:space="preserve">3. der zuständigen Behörde den Tag der Beendigung des Arbeitsverhältnisses der fernlenkenden Person mit dem Halter unverzüglich mitzuteilen.</w:t>
      </w:r>
    </w:p>
    <w:p>
      <w:r>
        <w:t xml:space="preserve">(5) Der Halter darf die fernlenkende Person nicht einsetzen, wenn sie die Anforderungen an das Fernlenken nicht erfüllt, ihre Handlungssicherheit nach Absatz 4 Nummer 1 nicht gegeben ist oder ihr das Fernlenken von der zuständigen Behörde nach § 3 Absatz 1 der Fahrerlaubnis-Verordnung untersagt worden ist.</w:t>
      </w:r>
    </w:p>
    <w:p>
      <w:r>
        <w:rPr>
          <w:color w:val="555555"/>
          <w:sz w:val="17"/>
        </w:rPr>
        <w:t xml:space="preserve">Zitiervorschlag: § 11 StVFernLV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https://recht.nulegal.eu/gesetze/StVFernLV/11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