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StVFernLV — Regelungsgegenstand</w:t>
      </w:r>
    </w:p>
    <w:p>
      <w:r>
        <w:rPr>
          <w:color w:val="555555"/>
          <w:sz w:val="18"/>
        </w:rPr>
        <w:t xml:space="preserve">Straßenverkehr-Fernlenk-Verordnung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(1) Diese Verordnung regelt die Voraussetzungen, unter denen Kraftfahrzeuge der Klassen M und N im Sinne des Artikels 4 der Verordnung (EU) 2018/858, abweichend von den Verkehrsvorschriften nach Abschnitt I des Straßenverkehrsgesetzes, der Fahrzeug-Zulassungsverordnung, der Straßenverkehrs-Zulassungs-Ordnung und der Fahrerlaubnis-Verordnung, ferngelenkt auf öffentlichen Straßen betrieben werden dürfen.</w:t>
      </w:r>
    </w:p>
    <w:p>
      <w:r>
        <w:t xml:space="preserve">(2) Soweit in dieser Verordnung nicht die Zuständigkeit des Kraftfahrt-Bundesamts bestimmt wird, ist zuständige Behörde die nach Landesrecht zuständige Behörde.</w:t>
      </w:r>
    </w:p>
    <w:p>
      <w:r>
        <w:t xml:space="preserve">(3) Die Vorschriften der §§ 1a bis 1k des Straßenverkehrsgesetzes bleiben unberührt.</w:t>
      </w:r>
    </w:p>
    <w:p>
      <w:r>
        <w:rPr>
          <w:color w:val="555555"/>
          <w:sz w:val="17"/>
        </w:rPr>
        <w:t xml:space="preserve">Zitiervorschlag: § 1 StVFernLV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https://recht.nulegal.eu/gesetze/StVFernLV/1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