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StVEgVStrPL (Bayern) — Inkrafttreten und Kündigung</w:t>
      </w:r>
    </w:p>
    <w:p>
      <w:r>
        <w:rPr>
          <w:color w:val="555555"/>
          <w:sz w:val="18"/>
        </w:rPr>
        <w:t xml:space="preserve">Staatsvertrag über die Übertragung von Aufgaben nach §§ 802 k Abs. 1 Satz 2, 882 h Abs. 1 Satz 2 und 3 der Zivilprozessordnung und § 6 Abs. 1 Schuldnerverzeichnisführungsverordnung und § 7 Abs. 1 Satz 1 der Vermögensverzeichnisverordnung zur Errichtung und zum Betrieb eines gemeinsamen Vollstreckungsportals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bedarf der Ratifikation. Die Ratifikationsurkunden werden bei der Landesjustizverwaltung Nordrhein-Westfalen hinterlegt. Die Landesjustizverwaltung Nordrhein-Westfalen teilt den übrigen Vertragsparteien die Hinterlegung der letzten Ratifikationsurkunde mit. Der Staatsvertrag tritt mit dem Tage, der auf die Hinterlegung der letzten Ratifikationsurkunde folgt, nicht jedoch vor dem 1. Januar 2013 in Kraft.</w:t>
      </w:r>
    </w:p>
    <w:p>
      <w:r>
        <w:t xml:space="preserve">(2) Dieser Staatsvertrag wird auf unbestimmte Zeit geschlossen. Eine Kündigung kann jeweils mit einer Frist von 6 Monaten zum Schluss des Kalenderjahres erfolgen. Eine Kündigung ist erstmals zum Ablauf des Jahres 2014 zulässig.</w:t>
      </w:r>
    </w:p>
    <w:p>
      <w:r>
        <w:rPr>
          <w:color w:val="555555"/>
          <w:sz w:val="17"/>
        </w:rPr>
        <w:t xml:space="preserve">Zitiervorschlag: § 8 StVEgVStrPL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https://recht.nulegal.eu/gesetze/StVEgVStrPL/8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