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StVEgVStrPL (Bayern) — Kosten und Betrieb des Vollstreckungsportals</w:t>
      </w:r>
    </w:p>
    <w:p>
      <w:r>
        <w:rPr>
          <w:color w:val="555555"/>
          <w:sz w:val="18"/>
        </w:rPr>
        <w:t xml:space="preserve">Staatsvertrag über die Übertragung von Aufgaben nach §§ 802 k Abs. 1 Satz 2, 882 h Abs. 1 Satz 2 und 3 der Zivilprozessordnung und § 6 Abs. 1 Schuldnerverzeichnisführungsverordnung und § 7 Abs.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Länder erstatten dem Land Nordrhein-Westfalen den ihm durch diesen Vertrag entstehenden Aufwand. Die Verteilung der Kosten richtet sich nach dem jeweils geltenden Königsteiner Schlüssel zum Stichtag der Abrechnung.</w:t>
      </w:r>
    </w:p>
    <w:p>
      <w:r>
        <w:t xml:space="preserve">(2) Die Einzelheiten über den Betrieb des gemeinsamen Vollstreckungsportals der Länder sowie die Höhe der Kosten werden in einer Dienstleistungsvereinbarung gesondert geregelt.</w:t>
      </w:r>
    </w:p>
    <w:p>
      <w:r>
        <w:rPr>
          <w:color w:val="555555"/>
          <w:sz w:val="17"/>
        </w:rPr>
        <w:t xml:space="preserve">Zitiervorschlag: § 7 StVEgVStrPL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https://recht.nulegal.eu/gesetze/StVEgVStrPL/7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