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StVEgVStrPL (Bayern) — Protokollierung der Abrufe und Sperrung des Bezugs von Abdrucken</w:t>
      </w:r>
    </w:p>
    <w:p>
      <w:r>
        <w:rPr>
          <w:color w:val="555555"/>
          <w:sz w:val="18"/>
        </w:rPr>
        <w:t xml:space="preserve">Staatsvertrag über die Übertragung von Aufgaben nach §§ 802 k Abs. 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Bereitstellung der Daten aus den Schuldnerverzeichnissen und Vermögensverzeichnissen der Länder zum Zwecke der Einsichtnahme und zum Abdruckversand umfasst auch die Pflicht zur Protokollierung der Abrufe gemäß § 6 Abs. 3 der Schuldnerverzeichnisführungsverordnung und § 7 Abs. 4 der Vermögensverzeichnisverordnung.</w:t>
      </w:r>
    </w:p>
    <w:p>
      <w:r>
        <w:t xml:space="preserve">(2) Die Länder sind befugt, zugelassene Teilnehmer zum laufenden Bezug von Abdrucken, die die von diesen zu entrichtenden Gebühren nicht oder nicht vollständig zahlen, oder bei Bekanntwerden von Missbrauchsfällen zu sperren.</w:t>
      </w:r>
    </w:p>
    <w:p>
      <w:r>
        <w:rPr>
          <w:color w:val="555555"/>
          <w:sz w:val="17"/>
        </w:rPr>
        <w:t xml:space="preserve">Zitiervorschlag: § 3 StVEgVStrPL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https://recht.nulegal.eu/gesetze/StVEgVStrPL/3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