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StVEKKStV (Bayern)</w:t>
      </w:r>
    </w:p>
    <w:p>
      <w:r>
        <w:rPr>
          <w:color w:val="555555"/>
          <w:sz w:val="18"/>
        </w:rPr>
        <w:t xml:space="preserve">Vertrag zum Europäischen Fernsehkulturkanal</w:t>
      </w:r>
    </w:p>
    <w:p>
      <w:r>
        <w:rPr>
          <w:color w:val="555555"/>
          <w:sz w:val="18"/>
        </w:rPr>
        <w:t xml:space="preserve">Landesrecht Bayern</w:t>
      </w:r>
    </w:p>
    <w:p>
      <w:r>
        <w:rPr>
          <w:color w:val="555555"/>
          <w:sz w:val="18"/>
        </w:rPr>
        <w:t xml:space="preserve">Stand: 25.08.2026 (konsolidierte Textfassung, kein amtliches Inkrafttretensdatum)</w:t>
      </w:r>
    </w:p>
    <w:p>
      <w:r>
        <w:t xml:space="preserve">Weitere deutsche Länder können diesem Vertrag beitreten. Der Vertrag steht zudem jedem Mitgliedsstaat des Europarates und jeder Vertragspartei des Europäischen Kulturabkommens zum Beitritt offen, wenn Fernsehveranstalter solcher Staaten Gesellschafter des EKK geworden sind oder werden sollen. Die Beitrittsurkunden werden bei der französischen Regierung hinterlegt. Der Beitritt wird am 30. Tag nach Hinterlegung der Beitrittsurkunden wirksam.</w:t>
      </w:r>
    </w:p>
    <w:p>
      <w:r>
        <w:rPr>
          <w:color w:val="555555"/>
          <w:sz w:val="17"/>
        </w:rPr>
        <w:t xml:space="preserve">Zitiervorschlag: Art 4 StVEKKStV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https://recht.nulegal.eu/gesetze/StVEKKStV/4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