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StVEKKStV (Bayern)</w:t>
      </w:r>
    </w:p>
    <w:p>
      <w:r>
        <w:rPr>
          <w:color w:val="555555"/>
          <w:sz w:val="18"/>
        </w:rPr>
        <w:t xml:space="preserve">Vertrag zum Europäischen Fernsehkulturkanal</w:t>
      </w:r>
    </w:p>
    <w:p>
      <w:r>
        <w:rPr>
          <w:color w:val="555555"/>
          <w:sz w:val="18"/>
        </w:rPr>
        <w:t xml:space="preserve">Landesrecht Bayern</w:t>
      </w:r>
    </w:p>
    <w:p>
      <w:r>
        <w:rPr>
          <w:color w:val="555555"/>
          <w:sz w:val="18"/>
        </w:rPr>
        <w:t xml:space="preserve">Stand: 25.08.2026 (konsolidierte Textfassung, kein amtliches Inkrafttretensdatum)</w:t>
      </w:r>
    </w:p>
    <w:p>
      <w:r>
        <w:t xml:space="preserve">(1) Der EKK hat die alleinige Verantwortung für die Programmplanung. Er ist gleichermaßen verantwortlich für die Programmrealisierung, die er ebenso wie die Verwaltung des Personals und die Haushaltsbewirtschaftung unter ausschließlicher Aufsicht und Kontrolle der Gesellschafter wahrnimmt und damit unabhängig von staatlichen Eingriffen einschließlich unabhängiger Instanzen für die Gestaltung des Rundfunkwesens des Sitzlandes. Ebenso steht die Leitung, die Verwaltung und die Bezahlung des Personals sowie der Haushaltsplan der französischen und deutschen Gesellschafter des EKK in der alleinigen Verantwortung dieser Gesellschafter.</w:t>
      </w:r>
    </w:p>
    <w:p>
      <w:r>
        <w:t xml:space="preserve">(2) Die französischen und deutschen Gesellschafter bestimmen vertraglich die Regeln für die Gestaltung des vom EKK ausgestrahlten Programmes. Diese Regeln sind in dem Gesellschaftsvertrag des EKK enthalten.</w:t>
      </w:r>
    </w:p>
    <w:p>
      <w:r>
        <w:rPr>
          <w:color w:val="555555"/>
          <w:sz w:val="17"/>
        </w:rPr>
        <w:t xml:space="preserve">Zitiervorschlag: Art 1 StVEKKStV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https://recht.nulegal.eu/gesetze/StVEKKStV/1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