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StVBodSchAbk (Bayern)</w:t>
      </w:r>
    </w:p>
    <w:p>
      <w:r>
        <w:rPr>
          <w:color w:val="555555"/>
          <w:sz w:val="18"/>
        </w:rPr>
        <w:t xml:space="preserve">Übereinkommen über den Schutz des Bodensees gegen Verunreinigung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 Zu Urkund dessen haben die Bevollmächtigten der Anliegerstaaten dieses Übereinkommen unterzeichnet.</w:t>
      </w:r>
    </w:p>
    <w:p>
      <w:r>
        <w:t xml:space="preserve">2 Geschehen in vierfacher Ausfertigung in Steckborn (Kanton Thurgau) am 27. Oktober 1960.</w:t>
      </w:r>
    </w:p>
    <w:p>
      <w:r>
        <w:rPr>
          <w:color w:val="555555"/>
          <w:sz w:val="17"/>
        </w:rPr>
        <w:t xml:space="preserve">Zitiervorschlag: Volltext StVBodSchAbk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https://recht.nulegal.eu/gesetze/StVBodSchAbk/volltext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