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 StVBodSchAbk (Bayern)</w:t>
      </w:r>
    </w:p>
    <w:p>
      <w:r>
        <w:rPr>
          <w:color w:val="555555"/>
          <w:sz w:val="18"/>
        </w:rPr>
        <w:t xml:space="preserve">Übereinkommen über den Schutz des Bodensees gegen Verunreinigung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vorliegende Übereinkommen bedarf der Ratifikation. Die Ratifikationsurkunden sollen sobald als möglich bei der Regierung des Landes Baden-Württemberg hinterlegt werden. Es tritt 30 Tage nach Hinterlegung der letzten Ratifikationsurkunde in Kraft.</w:t>
      </w:r>
    </w:p>
    <w:p>
      <w:r>
        <w:t xml:space="preserve">(2) Das Übereinkommen bleibt in Kraft, solange es nicht von einem Anliegerstaat mit einer Frist von sechs Monaten auf Jahresende gekündigt worden ist.</w:t>
      </w:r>
    </w:p>
    <w:p>
      <w:r>
        <w:rPr>
          <w:color w:val="555555"/>
          <w:sz w:val="17"/>
        </w:rPr>
        <w:t xml:space="preserve">Zitiervorschlag: Art 9 StVBodSchAbk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https://recht.nulegal.eu/gesetze/StVBodSchAbk/9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