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StVBodSchAbk (Bayern)</w:t>
      </w:r>
    </w:p>
    <w:p>
      <w:r>
        <w:rPr>
          <w:color w:val="555555"/>
          <w:sz w:val="18"/>
        </w:rPr>
        <w:t xml:space="preserve">Übereinkommen über den Schutz des Bodensees gegen Verunreinigung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Internationale Abkommen über die Schiffahrt und die Fischerei bleiben unberührt.</w:t>
      </w:r>
    </w:p>
    <w:p>
      <w:r>
        <w:t xml:space="preserve">(2) Die Kommission arbeitet auf ihrem Aufgabengebiet mit internationalen Einrichtungen für die Schiffahrt und die Fischerei und mit der Internationalen Kommission zum Schutze des Rheins gegen Verunreinigung zusammen.</w:t>
      </w:r>
    </w:p>
    <w:p>
      <w:r>
        <w:rPr>
          <w:color w:val="555555"/>
          <w:sz w:val="17"/>
        </w:rPr>
        <w:t xml:space="preserve">Zitiervorschlag: Art 8 StVBodSchAbk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https://recht.nulegal.eu/gesetze/StVBodSchAbk/8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