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StVBodSchAbk (Bayern)</w:t>
      </w:r>
    </w:p>
    <w:p>
      <w:r>
        <w:rPr>
          <w:color w:val="555555"/>
          <w:sz w:val="18"/>
        </w:rPr>
        <w:t xml:space="preserve">Übereinkommen über den Schutz des Bodensees gegen Verunreinigung</w:t>
      </w:r>
    </w:p>
    <w:p>
      <w:r>
        <w:rPr>
          <w:color w:val="555555"/>
          <w:sz w:val="18"/>
        </w:rPr>
        <w:t xml:space="preserve">Landesrecht Bayern</w:t>
      </w:r>
    </w:p>
    <w:p>
      <w:r>
        <w:rPr>
          <w:color w:val="555555"/>
          <w:sz w:val="18"/>
        </w:rPr>
        <w:t xml:space="preserve">Stand: 25.08.2026 (konsolidierte Textfassung, kein amtliches Inkrafttretensdatum)</w:t>
      </w:r>
    </w:p>
    <w:p>
      <w:r>
        <w:t xml:space="preserve">Jeder Anliegerstaat trägt die Kosten seiner Delegation und seiner Sachverständigen. Sind Sachverständige im Auftrag der Kommission tätig, so werden die hierdurch entstehenden Kosten nach einem jeweils von der Kommission zu beschließenden Verhältnis auf die Anliegerstaaten aufgeteilt. Das gleiche gilt für Veröffentlichungen der Kommission.</w:t>
      </w:r>
    </w:p>
    <w:p>
      <w:r>
        <w:rPr>
          <w:color w:val="555555"/>
          <w:sz w:val="17"/>
        </w:rPr>
        <w:t xml:space="preserve">Zitiervorschlag: Art 7 StVBodSchAbk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https://recht.nulegal.eu/gesetze/StVBodSchAbk/7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