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StVBodSchAbk (Bayern)</w:t>
      </w:r>
    </w:p>
    <w:p>
      <w:r>
        <w:rPr>
          <w:color w:val="555555"/>
          <w:sz w:val="18"/>
        </w:rPr>
        <w:t xml:space="preserve">Übereinkommen über den Schutz des Bodensees gegen Verunreinigung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Als Bodensee im Sinne dieses Übereinkommens gelten der Obersee und der Untersee.</w:t>
      </w:r>
    </w:p>
    <w:p>
      <w:r>
        <w:rPr>
          <w:color w:val="555555"/>
          <w:sz w:val="17"/>
        </w:rPr>
        <w:t xml:space="preserve">Zitiervorschlag: Art 2 StVBodSchAbk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https://recht.nulegal.eu/gesetze/StVBodSchAbk/2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