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StVBayBWLGStV (Bayern)</w:t>
      </w:r>
    </w:p>
    <w:p>
      <w:r>
        <w:rPr>
          <w:color w:val="555555"/>
          <w:sz w:val="18"/>
        </w:rPr>
        <w:t xml:space="preserve">Erster Staatsvertrag zwischen dem Land Baden-Württemberg und dem Freistaat Bayern über die Änderung der Landesgrenze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Mit Inkrafttreten des Staatsvertrages werden die aufgenommenen Gebietsteile in die an sie angrenzenden Gemeinden des aufnehmenden Landes eingegliedert. Das Flurstück 227/1 der Gemarkung Aitrach wird als Flurstück 273/4 der Gemarkung Lautrach in die Gemeinde Lautrach eingegliedert.</w:t>
      </w:r>
    </w:p>
    <w:p>
      <w:r>
        <w:t xml:space="preserve">(2) Zum gleichen Zeitpunkt tritt in den aufgenommenen Gebietsteilen das Landesrecht des aufnehmenden Landes und das jeweilige Kreis- und Ortsrecht in Kraft; das bisherige Landes-, Kreis- und Ortsrecht tritt außer Kraft, soweit es diesem Recht entspricht oder widerspricht.</w:t>
      </w:r>
    </w:p>
    <w:p>
      <w:r>
        <w:t xml:space="preserve">(3) Für Rechte und Rechtsverhältnisse, die vor dem Inkrafttreten dieses Vertrages entstanden sind, bleiben die bisher geltenden Vorschriften maßgebend.</w:t>
      </w:r>
    </w:p>
    <w:p>
      <w:r>
        <w:t xml:space="preserve">(4) Die beteiligten Gebietskörperschaften regeln die sie betreffenden Rechts- und Verwaltungsfragen durch Vereinbarung, die der Genehmigung des Regierungspräsidiums Tübingen und der Regierung von Schwaben bedarf. Sonstige Rechts- und Verwaltungsfragen regeln für die aufgenommenen Gebiete das Regierungspräsidium Tübingen und die Regierung von Schwaben im Benehmen mit den beteiligten Gebietskörperschaften.</w:t>
      </w:r>
    </w:p>
    <w:p>
      <w:r>
        <w:rPr>
          <w:color w:val="555555"/>
          <w:sz w:val="17"/>
        </w:rPr>
        <w:t xml:space="preserve">Zitiervorschlag: Art 5 StVBayBWLGStV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https://recht.nulegal.eu/gesetze/StVBayBWLGStV/5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