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StVBayBWLGStV (Bayern)</w:t>
      </w:r>
    </w:p>
    <w:p>
      <w:r>
        <w:rPr>
          <w:color w:val="555555"/>
          <w:sz w:val="18"/>
        </w:rPr>
        <w:t xml:space="preserve">Erster Staatsvertrag zwischen dem Land Baden-Württemberg und dem Freistaat Bayern über die Änderung der Landesgrenze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Zwischen der baden-württembergischen Gemeinde Argenbühl, Landkreis Ravensburg, und der bayerischen Gemeinde Maria-Thann, Landkreis Lindau (Bodensee), (Anlage 5), verläuft die neue Landesgrenze in dem in der Anlage 6 dargestellten Grenzabschnitt zwischen dem Flurstück 193/3 und dem Flurstück 211 der Gemarkung Eglofs (II. Kataster Eglofstal) einerseits und den Flurstücken 575 und 570 der Gemarkung Maria-Thann andererseits als feste Grenze in der Mitte zwischen den beiderseitigen Ufern der Oberen Argen nach Maßgabe der als Anlage 7 beigefügten Fortführungsrisse des Staatlichen Vermessungsamtes Ravensburg und des Vermessungsamtes Immenstadt.</w:t>
      </w:r>
    </w:p>
    <w:p>
      <w:r>
        <w:rPr>
          <w:color w:val="555555"/>
          <w:sz w:val="17"/>
        </w:rPr>
        <w:t xml:space="preserve">Zitiervorschlag: Art 3 StVBayBWLGStV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https://recht.nulegal.eu/gesetze/StVBayBWLGStV/3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