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StVBAB45Mainb253_254 (Bayern) — Gegenstand des Staatsvertrags</w:t>
      </w:r>
    </w:p>
    <w:p>
      <w:r>
        <w:rPr>
          <w:color w:val="555555"/>
          <w:sz w:val="18"/>
        </w:rPr>
        <w:t xml:space="preserve">Staatsvertrag zwischen dem Land Hessen und dem Freistaat Bayern über die Planfeststellung für den Neubau der Mainbrücke Mainflingen im Zuge der BAB A 45 (von Str.-km 253,200 bis Str.-km 254,100)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 Gegenstand des Staatsvertrags ist die Planfeststellung für den Neubau der Mainbrücke Mainflingen einschließlich der erforderlichen Streckenanpassung.</w:t>
      </w:r>
    </w:p>
    <w:p>
      <w:r>
        <w:t xml:space="preserve">2. Regelungen über den Bauwerksentwurf, die Ausführungsplanung, den Grund erwerb, die Baudurchführung und die Kosten bleiben zwischen dem Land Hessen und dem Freistaat Bayern abzuschließenden Verwaltungsabkommen vorbehalten.</w:t>
      </w:r>
    </w:p>
    <w:p>
      <w:r>
        <w:rPr>
          <w:color w:val="555555"/>
          <w:sz w:val="17"/>
        </w:rPr>
        <w:t xml:space="preserve">Zitiervorschlag: Art 1 StVBAB45Mainb253_254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https://recht.nulegal.eu/gesetze/StVBAB45Mainb253_254/1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