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StVArchVersByRPf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Mainz, den 19. Mai 1981</w:t>
      </w:r>
    </w:p>
    <w:p>
      <w:r>
        <w:t xml:space="preserve">Für den Freistaat Bayern</w:t>
      </w:r>
    </w:p>
    <w:p>
      <w:r>
        <w:t xml:space="preserve">Der Staatminister des Innern</w:t>
      </w:r>
    </w:p>
    <w:p>
      <w:r>
        <w:t xml:space="preserve">G. Tandler</w:t>
      </w:r>
    </w:p>
    <w:p>
      <w:r>
        <w:t xml:space="preserve">Für das Land Rheinland-Pfalz</w:t>
      </w:r>
    </w:p>
    <w:p>
      <w:r>
        <w:t xml:space="preserve">Der Minister des Innern und für Sport</w:t>
      </w:r>
    </w:p>
    <w:p>
      <w:r>
        <w:t xml:space="preserve">K. Böckmann</w:t>
      </w:r>
    </w:p>
    <w:p>
      <w:r>
        <w:rPr>
          <w:color w:val="555555"/>
          <w:sz w:val="17"/>
        </w:rPr>
        <w:t xml:space="preserve">Zitiervorschlag: Schlussformel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StVArchVersByRPf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